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保安服务项目(二次)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CGXM-2025-350201-00818[2025]00281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[350201]FJGC[GK]2025001-1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复旦大学附属中山医院厦门医院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福建国诚招标有限公司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福建国诚招标有限公司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保安服务项目(二次)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CGXM-2025-350201-00818[2025]00281</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[350201]FJGC[GK]2025001-1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采购人根据采购项目的要求规定的投标人资质要求文件</w:t>
            </w:r>
          </w:p>
        </w:tc>
        <w:tc>
          <w:tcPr>
            <w:tcW w:type="dxa" w:w="4614"/>
          </w:tcPr>
          <w:p>
            <w:pPr>
              <w:pStyle w:val="null3"/>
              <w:jc w:val="both"/>
            </w:pPr>
            <w:r>
              <w:rPr>
                <w:rFonts w:ascii="仿宋_GB2312" w:hAnsi="仿宋_GB2312" w:cs="仿宋_GB2312" w:eastAsia="仿宋_GB2312"/>
              </w:rPr>
              <w:t>投标人应具备政府部门批准核发的保安服务许可证（必须在有效期内），提供许可证扫描件。</w:t>
            </w:r>
          </w:p>
        </w:tc>
      </w:tr>
      <w:tr>
        <w:tc>
          <w:tcPr>
            <w:tcW w:type="dxa" w:w="3692"/>
          </w:tcPr>
          <w:p>
            <w:pPr>
              <w:pStyle w:val="null3"/>
              <w:jc w:val="both"/>
            </w:pPr>
            <w:r>
              <w:rPr>
                <w:rFonts w:ascii="仿宋_GB2312" w:hAnsi="仿宋_GB2312" w:cs="仿宋_GB2312" w:eastAsia="仿宋_GB2312"/>
              </w:rPr>
              <w:t>具备履行合同所必需设备和专业技术能力的声明函(本文件中描述与此处不一致的，以此处为准)</w:t>
            </w:r>
          </w:p>
        </w:tc>
        <w:tc>
          <w:tcPr>
            <w:tcW w:type="dxa" w:w="4614"/>
          </w:tcPr>
          <w:p>
            <w:pPr>
              <w:pStyle w:val="null3"/>
              <w:jc w:val="both"/>
            </w:pPr>
            <w:r>
              <w:rPr>
                <w:rFonts w:ascii="仿宋_GB2312" w:hAnsi="仿宋_GB2312" w:cs="仿宋_GB2312" w:eastAsia="仿宋_GB2312"/>
              </w:rPr>
              <w:t>指提供履行合同所必需的设备和专业技术能力的声明函。</w:t>
            </w:r>
          </w:p>
        </w:tc>
      </w:tr>
      <w:tr>
        <w:tc>
          <w:tcPr>
            <w:tcW w:type="dxa" w:w="3692"/>
          </w:tcPr>
          <w:p>
            <w:pPr>
              <w:pStyle w:val="null3"/>
              <w:jc w:val="both"/>
            </w:pPr>
            <w:r>
              <w:rPr>
                <w:rFonts w:ascii="仿宋_GB2312" w:hAnsi="仿宋_GB2312" w:cs="仿宋_GB2312" w:eastAsia="仿宋_GB2312"/>
              </w:rPr>
              <w:t>信用记录查询结果(本文件中描述与此处不一致的，以此处为准)</w:t>
            </w:r>
          </w:p>
        </w:tc>
        <w:tc>
          <w:tcPr>
            <w:tcW w:type="dxa" w:w="4614"/>
          </w:tcPr>
          <w:p>
            <w:pPr>
              <w:pStyle w:val="null3"/>
              <w:jc w:val="both"/>
            </w:pPr>
            <w:r>
              <w:rPr>
                <w:rFonts w:ascii="仿宋_GB2312" w:hAnsi="仿宋_GB2312" w:cs="仿宋_GB2312" w:eastAsia="仿宋_GB2312"/>
              </w:rPr>
              <w:t>1、信用信息查询渠道：通过“信用中国”网站（www.creditchina.gov.cn）、中国政府采购网（www.ccgp.gov.cn）、“信用中国（福建厦门）”网站（credit.xm.gov.cn）查询所有投标人的信用信息。 2、截止时点：查询投标人截止开标当天前三年内的信用信息。 3、查询记录和证据留存方式：将查询结果网页打印后随招标文件一并存档。 4、信用信息的使用规则：（1）查询结果显示投标人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5、投标人无需提供信用信息查询结果。若投标人自行提供查询结果的，仍以评标当天查询结果为准。</w:t>
            </w:r>
          </w:p>
        </w:tc>
      </w:tr>
      <w:tr>
        <w:tc>
          <w:tcPr>
            <w:tcW w:type="dxa" w:w="3692"/>
          </w:tcPr>
          <w:p>
            <w:pPr>
              <w:pStyle w:val="null3"/>
              <w:jc w:val="both"/>
            </w:pPr>
            <w:r>
              <w:rPr>
                <w:rFonts w:ascii="仿宋_GB2312" w:hAnsi="仿宋_GB2312" w:cs="仿宋_GB2312" w:eastAsia="仿宋_GB2312"/>
              </w:rPr>
              <w:t>资格承诺函（若有）</w:t>
            </w:r>
          </w:p>
        </w:tc>
        <w:tc>
          <w:tcPr>
            <w:tcW w:type="dxa" w:w="4614"/>
          </w:tcPr>
          <w:p>
            <w:pPr>
              <w:pStyle w:val="null3"/>
              <w:jc w:val="both"/>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注：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成交，依法追究相关的法律责任。</w:t>
            </w:r>
          </w:p>
        </w:tc>
      </w:tr>
      <w:tr>
        <w:tc>
          <w:tcPr>
            <w:tcW w:type="dxa" w:w="3692"/>
          </w:tcPr>
          <w:p>
            <w:pPr>
              <w:pStyle w:val="null3"/>
              <w:jc w:val="both"/>
            </w:pPr>
            <w:r>
              <w:rPr>
                <w:rFonts w:ascii="仿宋_GB2312" w:hAnsi="仿宋_GB2312" w:cs="仿宋_GB2312" w:eastAsia="仿宋_GB2312"/>
              </w:rPr>
              <w:t>落实政府采购政策的证明材料(专门面向中小企业采购)(本文件中与此处不一致，以此处为准)</w:t>
            </w:r>
          </w:p>
        </w:tc>
        <w:tc>
          <w:tcPr>
            <w:tcW w:type="dxa" w:w="4614"/>
          </w:tcPr>
          <w:p>
            <w:pPr>
              <w:pStyle w:val="null3"/>
              <w:jc w:val="both"/>
            </w:pPr>
            <w:r>
              <w:rPr>
                <w:rFonts w:ascii="仿宋_GB2312" w:hAnsi="仿宋_GB2312" w:cs="仿宋_GB2312" w:eastAsia="仿宋_GB2312"/>
              </w:rPr>
              <w:t>本项目专门面向中小企业采购，非中小企业的将被拒绝，须提供相关证明材料： 1、供应商提供的服务应符合《政府采购促进中小企业发展管理办法》(财库〔2020〕46号) 第四条规定的情形，且应当提供《政府采购促进中小企业发展管理办法》(财库〔2020〕46号)规定的《中小企业声明函》， 格式见采购文件相关附件。本项目采购标的对应的中小企业划分标准所属行业详见“附2：采购标的一览表”中的所属行业，应对应填写《中小企业声明函》(工程、服务)模板，若供应商填写的《中小企业声明函》不是对应模板的或者提供的《中小企业声明函》中填写的行业与招标文件明确的采购标的对应的中小企业划分标准所属行业不一致，均不予认定为中小企业。 2、供应商为监狱企业的视同小型和微型企业，可不提供以上第1材料，但应当提供由省级以上监狱管理局、戒毒管理局(含新疆生产建设兵团)出具的属于监狱企业的证明文件。 3、供应商为残疾人福利性单位的视同小型和微型企业，可不提供以上第1点材料，但应当提供《残疾人福利性单位声明函》，格式见第七章《投标文件格式》附件。</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复旦大学附属中山医院厦门医院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福建省厦门市湖里区金湖路668号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江老师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0592-3569762</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福建国诚招标有限公司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福州市鼓楼区古田路中美大厦二十四层东单元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 xml:space="preserve"> 张凤玲</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 xml:space="preserve"> 0592-5131857、5131957</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福建国诚招标有限公司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11,300,400.00</w:t>
      </w:r>
    </w:p>
    <w:p>
      <w:pPr>
        <w:pStyle w:val="null3"/>
        <w:jc w:val="left"/>
      </w:pPr>
      <w:r>
        <w:rPr>
          <w:rFonts w:ascii="仿宋_GB2312" w:hAnsi="仿宋_GB2312" w:cs="仿宋_GB2312" w:eastAsia="仿宋_GB2312"/>
        </w:rPr>
        <w:t>采购包最高限价（元）: 11,300,400.00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保安服务</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11,300,400.00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保安服务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11,300,400.00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保安服务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保安服务</w:t>
            </w:r>
          </w:p>
        </w:tc>
        <w:tc>
          <w:tcPr>
            <w:tcW w:type="dxa" w:w="2076"/>
          </w:tcPr>
          <w:p>
            <w:pPr>
              <w:pStyle w:val="null3"/>
              <w:jc w:val="left"/>
            </w:pPr>
            <w:r>
              <w:rPr>
                <w:rFonts w:ascii="仿宋_GB2312" w:hAnsi="仿宋_GB2312" w:cs="仿宋_GB2312" w:eastAsia="仿宋_GB2312"/>
              </w:rPr>
              <w:t>本项目为整体招标采购项目,投标人必须对所有采购服务内容进行投标响应及报价,具体详见“第五章招标内容及要求”。</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11,300,400.00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投标人须根据项目编制详细的岗位报价明细表，岗位报价明细表可上传在“优先类节能产品、环境标志产品统计表”位置。</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中标候选人并列的，按“技术部分”的得分高低排序；若技术部分得分也相同的，则按“商务部分”的得分高低排序；若技术部分得分与商务部分得分也相同的，则采取随机抽取方式确定。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福建国诚招标有限公司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代理服务费收费标准：本项目的招标代理服务费向中标人收取，中标人应按差额定率累进法计算，向采购代理机构交纳招标代理服务费。 (1)以各合同包中标通知书规定的中标金额作为收费的计算基数。(2)招标代理服务收费的标准：100万元以下的部分，1.2%收取；100-500万元的部分，0.64%收取；500-1000万元的部分，0.36%收取；1000-5000万元的部分，0.2%收取；(3)经认定符合中小企业政策规定且资料提供完整的中标人，中标后可享受服务费下浮10%的优惠。(4)招标代理服务费收取方式： ①中标人应在领取中标通知书的同时按规定的标准一次性向采购代理机构缴清招标代理服务费。招标代理服务费以银行转账、电汇、汇票或现金等付款方式。② 招标代理服务费缴交银行账号：开户名：福建国诚招标有限公司厦门分公司；开户行：兴业银行厦门吕岭支行；账号：129300100100132261。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本项目采购公告中合同包控制价为最高限价，投标人超过最高限价的报价为无效报价。根据《中华人民共和国价格法》第六条、第十八条规定，投标人依法有权自主制定属于市场调节的价格，有权根据企业的生产经营成本等自身情况和市场供求状况等外部因素自主定价。 (2)-2实质性要求和条件： (2)-2-1根据《关于进一步规范政府采购评审工作有关问题的通知》财库[2012]69号文件规定，评标委员会对投标人技术部分的客观评分项的评分应当一致，对其他需要借助专业知识评判的主观评分项，应当严格按照评分细则公正评分。(2)-2-2无效投标及废标条款：以下为可能导致无效投标或废标的条款，具体内容详见招标文件各章节，请各投标人认真查看对照。(1)投标报价不符合投标人须知前附表“最高限价”条款规定的。(2)不符合投标人须知前附表“实质性要求和条件”条款规定的。(3)出现“评标方法和标准”无效投标规定的。(4)出现第三章投标人须知无效投标规定的。(5)出现第四章资格审查与评标无效投标规定的。(6)出现第五章招标内容及要求中“★”标示的内容为负偏离的。(7)出现第五章招标内容及要求无效投标规定的。(8)明显不符合技术和服务要求的为无效响应。(9)内容不全或关键字迹模糊、无法辨认的为无效响应。(2)-2-3投标人对提供投标文件中的所有材料及所承诺事项的真实性、合法性及有效性负责，并已知晓所提供材料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投标人在投标文件中须针对前述(2)-2-3条款的内容进行响应承诺，并在投标文件的技术商务部分单独提供书面承诺函，否则按照无效投标处理。(2)-3质疑与投诉：(2)-3-1质疑 (2)-3-1-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①对可以质疑的采购文件提出质疑的，为收到采购文件之日或者采购文件公告期限届满之日；②对采购过程提出质疑的，为各采购程序环节结束之日；③对中标结果提出质疑的，为中标结果公告期限届满之日。 (2)-3-1-2供应商在法定质疑期内须一次性提出针对同一采购程序环节的质疑。(2)-3-1-3接收质疑函的方式、联系部门、联系电话和通讯地址：①接收质疑函的方式：现场方式。②接收质疑函的联系部门：办公室。③接收质疑函的联系电话：0592-5131857、5131957。④接收质疑函的通讯地址：厦门市湖里区金泰路318号企鸣财富中心A栋608单元福建国诚招标有限公司。(2)-3-2投诉：(2)-3-2-1根据《政府采购质疑和投诉办法》(财政部令第94号)第十八条规定，“投诉人投诉时,应当提交投诉书和必要的证明材料，并按照被投诉采购人、采购代理机构和与投诉事项有关的供应商数量提供投诉书的副本”。根据《政府采购质疑和投诉办法》(财政部令第94号)第二十条规定，“供应商投诉的事项不得超出已质疑事项的范围，但基于质疑答复内容提出的投诉事项除外。”</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第二章“投标人须知前附表”表2中关于“⑥关于投标截止时间过后”规定“b.有下列情形之一的，其投标无效,其保证金不予退还：b1不同投标人的电子投标文件具有相同内部识别码；b2不同投标人的投标保证金从同一单位或个人的账户转出</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b.根据《福建省财政厅关于电子化政府采购项目中视为串标情形认定与处理的指导意见》闽财购〔2018〕30号规定，有下列情形之一的，视为投标人串通投标，其投标无效，没收其投标保证金，并书面报告本级财政部门： b1不同投标人的投标保证金转出账户的银行账户名称相同的； b2投标人上传电子投标文件被福建省政府采购网上公开信息系统投标客户端所赋予的项目内部识别码与本招标项目的其他投标人相同的； b3系统记录的编制电子投标文件使用的计算机或上传电子投标文件使用的计算机网卡 MAC 地址与本招标项目的其他投标人一致的； b4投标人上传的电子投标文件若出现使用本项目其他投标人的数字证书加密的或加盖本项目的其他投标人的电子印章的。</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⑧-1电子投标文件的投标报价、投标客户端填写的投标报价应保持一致，并以投标客户端填写的投标报价为准。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福建国诚招标有限公司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福建国诚招标有限公司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福建国诚招标有限公司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福建国诚招标有限公司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福建国诚招标有限公司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福建国诚招标有限公司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福建国诚招标有限公司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福建国诚招标有限公司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福建国诚招标有限公司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福建国诚招标有限公司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福建国诚招标有限公司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福建国诚招标有限公司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福建国诚招标有限公司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福建国诚招标有限公司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福建国诚招标有限公司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福建国诚招标有限公司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福建国诚招标有限公司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福建国诚招标有限公司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福建国诚招标有限公司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福建国诚招标有限公司</w:t>
      </w:r>
      <w:r>
        <w:rPr>
          <w:rFonts w:ascii="仿宋_GB2312" w:hAnsi="仿宋_GB2312" w:cs="仿宋_GB2312" w:eastAsia="仿宋_GB2312"/>
        </w:rPr>
        <w:t xml:space="preserve"> 提出询问， </w:t>
      </w:r>
      <w:r>
        <w:rPr>
          <w:rFonts w:ascii="仿宋_GB2312" w:hAnsi="仿宋_GB2312" w:cs="仿宋_GB2312" w:eastAsia="仿宋_GB2312"/>
        </w:rPr>
        <w:t>福建国诚招标有限公司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福建国诚招标有限公司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福建国诚招标有限公司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由福建国诚招标有限公司派出的工作人员至少1人，</w:t>
      </w:r>
      <w:r>
        <w:rPr>
          <w:rFonts w:ascii="仿宋_GB2312" w:hAnsi="仿宋_GB2312" w:cs="仿宋_GB2312" w:eastAsia="仿宋_GB2312"/>
        </w:rPr>
        <w:t>其余1人可为采购人代表或福建国诚招标有限公司的工作人员。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采购人根据采购项目的要求规定的投标人资质要求文件</w:t>
            </w:r>
          </w:p>
        </w:tc>
        <w:tc>
          <w:tcPr>
            <w:tcW w:type="dxa" w:w="4614"/>
          </w:tcPr>
          <w:p>
            <w:pPr>
              <w:pStyle w:val="null3"/>
              <w:jc w:val="left"/>
            </w:pPr>
            <w:r>
              <w:rPr>
                <w:rFonts w:ascii="仿宋_GB2312" w:hAnsi="仿宋_GB2312" w:cs="仿宋_GB2312" w:eastAsia="仿宋_GB2312"/>
              </w:rPr>
              <w:t>投标人应具备政府部门批准核发的保安服务许可证（必须在有效期内），提供许可证扫描件。</w:t>
            </w:r>
          </w:p>
        </w:tc>
      </w:tr>
      <w:tr>
        <w:tc>
          <w:tcPr>
            <w:tcW w:type="dxa" w:w="3692"/>
          </w:tcPr>
          <w:p>
            <w:pPr>
              <w:pStyle w:val="null3"/>
              <w:jc w:val="left"/>
            </w:pPr>
            <w:r>
              <w:rPr>
                <w:rFonts w:ascii="仿宋_GB2312" w:hAnsi="仿宋_GB2312" w:cs="仿宋_GB2312" w:eastAsia="仿宋_GB2312"/>
              </w:rPr>
              <w:t>具备履行合同所必需设备和专业技术能力的声明函(本文件中描述与此处不一致的，以此处为准)</w:t>
            </w:r>
          </w:p>
        </w:tc>
        <w:tc>
          <w:tcPr>
            <w:tcW w:type="dxa" w:w="4614"/>
          </w:tcPr>
          <w:p>
            <w:pPr>
              <w:pStyle w:val="null3"/>
              <w:jc w:val="left"/>
            </w:pPr>
            <w:r>
              <w:rPr>
                <w:rFonts w:ascii="仿宋_GB2312" w:hAnsi="仿宋_GB2312" w:cs="仿宋_GB2312" w:eastAsia="仿宋_GB2312"/>
              </w:rPr>
              <w:t>指提供履行合同所必需的设备和专业技术能力的声明函。</w:t>
            </w:r>
          </w:p>
        </w:tc>
      </w:tr>
      <w:tr>
        <w:tc>
          <w:tcPr>
            <w:tcW w:type="dxa" w:w="3692"/>
          </w:tcPr>
          <w:p>
            <w:pPr>
              <w:pStyle w:val="null3"/>
              <w:jc w:val="left"/>
            </w:pPr>
            <w:r>
              <w:rPr>
                <w:rFonts w:ascii="仿宋_GB2312" w:hAnsi="仿宋_GB2312" w:cs="仿宋_GB2312" w:eastAsia="仿宋_GB2312"/>
              </w:rPr>
              <w:t>信用记录查询结果(本文件中描述与此处不一致的，以此处为准)</w:t>
            </w:r>
          </w:p>
        </w:tc>
        <w:tc>
          <w:tcPr>
            <w:tcW w:type="dxa" w:w="4614"/>
          </w:tcPr>
          <w:p>
            <w:pPr>
              <w:pStyle w:val="null3"/>
              <w:jc w:val="left"/>
            </w:pPr>
            <w:r>
              <w:rPr>
                <w:rFonts w:ascii="仿宋_GB2312" w:hAnsi="仿宋_GB2312" w:cs="仿宋_GB2312" w:eastAsia="仿宋_GB2312"/>
              </w:rPr>
              <w:t>1、信用信息查询渠道：通过“信用中国”网站（www.creditchina.gov.cn）、中国政府采购网（www.ccgp.gov.cn）、“信用中国（福建厦门）”网站（credit.xm.gov.cn）查询所有投标人的信用信息。 2、截止时点：查询投标人截止开标当天前三年内的信用信息。 3、查询记录和证据留存方式：将查询结果网页打印后随招标文件一并存档。 4、信用信息的使用规则：（1）查询结果显示投标人存在不良信用记录（包含列入失信被执行人、重大税收违法失信主体名单、政府采购严重违法失信行为记录名单及其他不符合《中华人民共和国政府采购法》第二十二条规定条件）的，其资格审查不合格。（2）因查询渠道网站原因导致查无投标人信息的，不认定投标人资格审查不合格；评审结束后，通过其他渠道发现投标人存在不良信用记录的，不认定为资格审查错误，将依照有关规定进行调查处理。 5、投标人无需提供信用信息查询结果。若投标人自行提供查询结果的，仍以评标当天查询结果为准。</w:t>
            </w:r>
          </w:p>
        </w:tc>
      </w:tr>
      <w:tr>
        <w:tc>
          <w:tcPr>
            <w:tcW w:type="dxa" w:w="3692"/>
          </w:tcPr>
          <w:p>
            <w:pPr>
              <w:pStyle w:val="null3"/>
              <w:jc w:val="left"/>
            </w:pPr>
            <w:r>
              <w:rPr>
                <w:rFonts w:ascii="仿宋_GB2312" w:hAnsi="仿宋_GB2312" w:cs="仿宋_GB2312" w:eastAsia="仿宋_GB2312"/>
              </w:rPr>
              <w:t>资格承诺函（若有）</w:t>
            </w:r>
          </w:p>
        </w:tc>
        <w:tc>
          <w:tcPr>
            <w:tcW w:type="dxa" w:w="4614"/>
          </w:tcPr>
          <w:p>
            <w:pPr>
              <w:pStyle w:val="null3"/>
              <w:jc w:val="left"/>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注：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成交，依法追究相关的法律责任。</w:t>
            </w:r>
          </w:p>
        </w:tc>
      </w:tr>
      <w:tr>
        <w:tc>
          <w:tcPr>
            <w:tcW w:type="dxa" w:w="3692"/>
          </w:tcPr>
          <w:p>
            <w:pPr>
              <w:pStyle w:val="null3"/>
              <w:jc w:val="left"/>
            </w:pPr>
            <w:r>
              <w:rPr>
                <w:rFonts w:ascii="仿宋_GB2312" w:hAnsi="仿宋_GB2312" w:cs="仿宋_GB2312" w:eastAsia="仿宋_GB2312"/>
              </w:rPr>
              <w:t>落实政府采购政策的证明材料(专门面向中小企业采购)(本文件中与此处不一致，以此处为准)</w:t>
            </w:r>
          </w:p>
        </w:tc>
        <w:tc>
          <w:tcPr>
            <w:tcW w:type="dxa" w:w="4614"/>
          </w:tcPr>
          <w:p>
            <w:pPr>
              <w:pStyle w:val="null3"/>
              <w:jc w:val="left"/>
            </w:pPr>
            <w:r>
              <w:rPr>
                <w:rFonts w:ascii="仿宋_GB2312" w:hAnsi="仿宋_GB2312" w:cs="仿宋_GB2312" w:eastAsia="仿宋_GB2312"/>
              </w:rPr>
              <w:t>本项目专门面向中小企业采购，非中小企业的将被拒绝，须提供相关证明材料： 1、供应商提供的服务应符合《政府采购促进中小企业发展管理办法》(财库〔2020〕46号) 第四条规定的情形，且应当提供《政府采购促进中小企业发展管理办法》(财库〔2020〕46号)规定的《中小企业声明函》， 格式见采购文件相关附件。本项目采购标的对应的中小企业划分标准所属行业详见“附2：采购标的一览表”中的所属行业，应对应填写《中小企业声明函》(工程、服务)模板，若供应商填写的《中小企业声明函》不是对应模板的或者提供的《中小企业声明函》中填写的行业与招标文件明确的采购标的对应的中小企业划分标准所属行业不一致，均不予认定为中小企业。 2、供应商为监狱企业的视同小型和微型企业，可不提供以上第1材料，但应当提供由省级以上监狱管理局、戒毒管理局(含新疆生产建设兵团)出具的属于监狱企业的证明文件。 3、供应商为残疾人福利性单位的视同小型和微型企业，可不提供以上第1点材料，但应当提供《残疾人福利性单位声明函》，格式见第七章《投标文件格式》附件。</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福建国诚招标有限公司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福建国诚招标有限公司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其中由福建省政府采购评审专家库产生的评审专家5人，</w:t>
      </w:r>
      <w:r>
        <w:rPr>
          <w:rFonts w:ascii="仿宋_GB2312" w:hAnsi="仿宋_GB2312" w:cs="仿宋_GB2312" w:eastAsia="仿宋_GB2312"/>
        </w:rPr>
        <w:t>由采购人派出的采购人代表2人。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福建国诚招标有限公司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福建国诚招标有限公司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未按照招标文件规定要求签署、盖章的；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不符合招标文件中规定的实质性要求和条件的。</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属于招标文件中规定的无效投标条款的。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投标文件组成不符合招标文件要求的；</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一个投标人不止投一个标；</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属于招标文件规定的符合性审查不合格情形；</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情形10</w:t>
            </w:r>
          </w:p>
        </w:tc>
        <w:tc>
          <w:tcPr>
            <w:tcW w:type="dxa" w:w="4153"/>
          </w:tcPr>
          <w:p>
            <w:pPr>
              <w:pStyle w:val="null3"/>
              <w:jc w:val="left"/>
            </w:pPr>
            <w:r>
              <w:rPr>
                <w:rFonts w:ascii="仿宋_GB2312" w:hAnsi="仿宋_GB2312" w:cs="仿宋_GB2312" w:eastAsia="仿宋_GB2312"/>
              </w:rPr>
              <w:t>属于招标文件规定评标委员会应否决其投标的情形；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情形11</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投标文件的技术商务部分中出现报价部分的全部或部分的投标报价信息(或组成资料)。</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情形12</w:t>
            </w:r>
          </w:p>
        </w:tc>
        <w:tc>
          <w:tcPr>
            <w:tcW w:type="dxa" w:w="4153"/>
          </w:tcPr>
          <w:p>
            <w:pPr>
              <w:pStyle w:val="null3"/>
              <w:jc w:val="left"/>
            </w:pPr>
            <w:r>
              <w:rPr>
                <w:rFonts w:ascii="仿宋_GB2312" w:hAnsi="仿宋_GB2312" w:cs="仿宋_GB2312" w:eastAsia="仿宋_GB2312"/>
              </w:rPr>
              <w:t>评标委员会认为应当停止评标工作的。</w:t>
            </w:r>
          </w:p>
        </w:tc>
      </w:tr>
      <w:tr>
        <w:tc>
          <w:tcPr>
            <w:tcW w:type="dxa" w:w="1038"/>
          </w:tcPr>
          <w:p>
            <w:pPr>
              <w:pStyle w:val="null3"/>
              <w:jc w:val="left"/>
            </w:pPr>
            <w:r>
              <w:rPr>
                <w:rFonts w:ascii="仿宋_GB2312" w:hAnsi="仿宋_GB2312" w:cs="仿宋_GB2312" w:eastAsia="仿宋_GB2312"/>
              </w:rPr>
              <w:t>13</w:t>
            </w:r>
          </w:p>
        </w:tc>
        <w:tc>
          <w:tcPr>
            <w:tcW w:type="dxa" w:w="3115"/>
          </w:tcPr>
          <w:p>
            <w:pPr>
              <w:pStyle w:val="null3"/>
              <w:jc w:val="left"/>
            </w:pPr>
            <w:r>
              <w:rPr>
                <w:rFonts w:ascii="仿宋_GB2312" w:hAnsi="仿宋_GB2312" w:cs="仿宋_GB2312" w:eastAsia="仿宋_GB2312"/>
              </w:rPr>
              <w:t>情形13</w:t>
            </w:r>
          </w:p>
        </w:tc>
        <w:tc>
          <w:tcPr>
            <w:tcW w:type="dxa" w:w="4153"/>
          </w:tcPr>
          <w:p>
            <w:pPr>
              <w:pStyle w:val="null3"/>
              <w:jc w:val="left"/>
            </w:pPr>
            <w:r>
              <w:rPr>
                <w:rFonts w:ascii="仿宋_GB2312" w:hAnsi="仿宋_GB2312" w:cs="仿宋_GB2312" w:eastAsia="仿宋_GB2312"/>
              </w:rPr>
              <w:t>招标文件中带“★”的条款的有任何负偏离或不满足的。</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6、投标文件的商务部分中出现报价部分的全部或部分的投标报价信息(或组成资料)。</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评审得分相同的，则按“价格部分”的得分高低排序；若投标人的评审得分相同且价格部分得分也相同的，则按“技术部分”的得分高低排序；若评审得分相同且价格部分与技术部分得分也相同的，则按“商务部分”的得分高低排序；若评审得分相同、价格部分得分相同且技术部分得分与商务部分得分也相同的，则采取随机抽取方式确定。其他同品牌投标人不作为中标候选人。</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(1)执行财政部 发展改革委 生态环境部 市场监管总局印发《关于调整优化节能产品、环境标志产品政府采购执行机制的通知》(财库〔2019〕9号)、《福建省财政厅关于加强政府绿色采购工作的通知》(闽财规〔2024〕3 号)的规定。 (2) 节能(非强制类产品)、环境标志产品评审优惠内容及幅度如下： ①对节能产品、环境标志产品政府采购品目清单范围内，实施优先采购的产品，给予产品价格报价10%的扣除，用扣除后的价格参加评审。采购标的同时包含其它非优先采购产品的，供应商在报价时必须对优先采购产品和非优先采购产品分项报价、单独填写扣除表，并提供产品认证证书复印件附在报价部分且加盖供应商公章。优先采购产品和非优先采购产品未单独分项报价或未提供产品认证证书复印件的不给予价格扣除。非优先采购产品的报价不享受给予节能产品、环境标志产品的价格扣除优惠。 ②对于同时属于环境标志和节能的产品，应当优先于只获得其中一项认证的产品。若节能、环境标志产品仅是构成投标产品的部件、组件或零件的，则该投标产品不享受鼓励优惠政策。评标委员会审查此项响应性只根据投标文件本身的内容，而不寻求其他的外部证据。 （3）岗位报价明细表可上传在此位置。</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的踏勘报告及对项目现场环境的分析，对安保服务特点的分析进行评价：提供服务范围内不少于5张不同区域不同角度现场详细照片及文字说明，且踏勘报告涵盖服务范围内保安重点岗位地址区域、重点岗位、项目现状的得2.75分；在此基础上，报告中有包含项目重点难点分析及解决对策等内容，踏勘内容详细具体且符合现场实际情况，重难点分析透彻，有利于保障项目顺利实施的得3分。未提供踏勘报告或踏勘报告与本项目不符的不得分。</w:t>
            </w:r>
          </w:p>
        </w:tc>
      </w:tr>
      <w:tr>
        <w:tc>
          <w:tcPr>
            <w:tcW w:type="dxa" w:w="3322"/>
          </w:tcPr>
          <w:p>
            <w:pPr>
              <w:pStyle w:val="null3"/>
              <w:jc w:val="both"/>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人员过渡计划安排方案进行评价：提供了能够确保过渡期间保安体系正常运营的计划，包含过渡期间如何与原有保安人员的工作交接及人员过渡岗位安排的得2.75分；在此基础上方案中工作交接等方面详细流程，能够针对本项目实际情况进行人员过渡计划安排，能够切实保证项目顺利过渡交接的得3分。未提供方案或方案与本项目不符的不得分。</w:t>
            </w:r>
          </w:p>
        </w:tc>
      </w:tr>
      <w:tr>
        <w:tc>
          <w:tcPr>
            <w:tcW w:type="dxa" w:w="3322"/>
          </w:tcPr>
          <w:p>
            <w:pPr>
              <w:pStyle w:val="null3"/>
              <w:jc w:val="both"/>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排班轮岗方案进行评价：方案中涵盖具体岗位安排、人员分配、时间周期的得2.75分；在此基础上，方案中细化排班轮岗流程，能够针对本项目实际情况进行合理的人员调配和时间安排，能够切实保障项目高效稳定运行的得3分。未提供方案或方案与本项目不符的不得分。</w:t>
            </w:r>
          </w:p>
        </w:tc>
      </w:tr>
      <w:tr>
        <w:tc>
          <w:tcPr>
            <w:tcW w:type="dxa" w:w="3322"/>
          </w:tcPr>
          <w:p>
            <w:pPr>
              <w:pStyle w:val="null3"/>
              <w:jc w:val="both"/>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安保管理的流程、工作细则、质量标准进行评价：提供了内容完整、覆盖主要安保环节的管理流程、工作细则和质量标准，能够基本确保项目服务质量与安全的得2.75分；在此基础上，方案中的流程、细则及标准详细具体、可操作性强，并能够紧密结合本项目特点和需求进行针对性设计，切实保障项目安全高效运行的得3分。未提供方案或方案与本项目不符的不得分。</w:t>
            </w:r>
          </w:p>
        </w:tc>
      </w:tr>
      <w:tr>
        <w:tc>
          <w:tcPr>
            <w:tcW w:type="dxa" w:w="3322"/>
          </w:tcPr>
          <w:p>
            <w:pPr>
              <w:pStyle w:val="null3"/>
              <w:jc w:val="both"/>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针对自然灾害、火情、人员聚集突发应急方案进行评价：方案涵盖基本应急响应流程、职责分工及处置措施，能够满足一般突发情况应对需求的得2.75分；在此基础上，方案中细化分级响应机制、针对性处置预案及联动协调措施，能够紧密结合本项目实际情况，显著提升突发事件应急处置效能的得3分。未提供方案或方案与本项目不符的不得分。</w:t>
            </w:r>
          </w:p>
        </w:tc>
      </w:tr>
      <w:tr>
        <w:tc>
          <w:tcPr>
            <w:tcW w:type="dxa" w:w="3322"/>
          </w:tcPr>
          <w:p>
            <w:pPr>
              <w:pStyle w:val="null3"/>
              <w:jc w:val="both"/>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针对突发疫情、防暴防恐突发应急方案进行评价：方案中涵盖基本应急措施、人员分工及处置流程，能够初步应对突发事件的得2.75分；在此基础上，方案细化应急响应机制，结合本项目实际情况制定针对性的防控策略，具备可操作性且能有效降低风险的得3分。未提供方案或方案与本项目不符的不得分。</w:t>
            </w:r>
          </w:p>
        </w:tc>
      </w:tr>
      <w:tr>
        <w:tc>
          <w:tcPr>
            <w:tcW w:type="dxa" w:w="3322"/>
          </w:tcPr>
          <w:p>
            <w:pPr>
              <w:pStyle w:val="null3"/>
              <w:jc w:val="both"/>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针对医闹、打架、斗殴应急预案等进行评价：方案中包含基本应急响应流程、人员分工及处置措施的得2.75分；在此基础上，方案细化具体应对步骤，明确不同等级事件的处置策略，并能够结合本项目实际情况制定针对性强、可操作性高的应急预案的得3分。未提供方案或方案与本项目不符的不得分。</w:t>
            </w:r>
          </w:p>
        </w:tc>
      </w:tr>
      <w:tr>
        <w:tc>
          <w:tcPr>
            <w:tcW w:type="dxa" w:w="3322"/>
          </w:tcPr>
          <w:p>
            <w:pPr>
              <w:pStyle w:val="null3"/>
              <w:jc w:val="both"/>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针对本项目提供的迎接上级检查评估、重大活动、会议的保障措施方案进行评价：方案中涵盖检查评估、重大活动及会议的保障措施，包括人员调配、应急预案、现场管理等内容，能够确保活动顺利进行的得2.75分；在此基础上，方案细化保障流程，针对不同级别检查、活动规模及会议需求制定差异化措施，人员职责明确、响应机制高效，可操作性强，能够切实提升保障质量的得3分。未提供方案或方案与本项目不符的不得分。</w:t>
            </w:r>
          </w:p>
        </w:tc>
      </w:tr>
      <w:tr>
        <w:tc>
          <w:tcPr>
            <w:tcW w:type="dxa" w:w="3322"/>
          </w:tcPr>
          <w:p>
            <w:pPr>
              <w:pStyle w:val="null3"/>
              <w:jc w:val="both"/>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日常巡逻方案进行评价：方案包含巡逻路线规划、巡逻人员配备、巡逻记录要求的得2.8分；在此基础上，方案中详细说明巡逻路线优化调整机制、人员排班科学合理性及突发事件应急处置流程，能够针对本项目实际情况制定切实可行巡逻方案的得3分。未提供方案或方案与本项目不符的不得分。</w:t>
            </w:r>
          </w:p>
        </w:tc>
      </w:tr>
      <w:tr>
        <w:tc>
          <w:tcPr>
            <w:tcW w:type="dxa" w:w="3322"/>
          </w:tcPr>
          <w:p>
            <w:pPr>
              <w:pStyle w:val="null3"/>
              <w:jc w:val="both"/>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针对拟投入人员的培训方案进行评价：方案涵盖培训内容、培训时间安排、培训目标、考核方式的得2.8分；在此基础上方案中培训流程详细完整，能够针对本项目实际情况制定培训计划，能够切实保证人员培训效果的得3分。未提供方案或方案与本项目不符的不得分。</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按照拟定的岗位人员配置数而划定的责任片区进行评价：提供有相关依据且有划定责任片区的得1.8分；在此基础上，责任片区划分合理，能够针对本项目实际情况进行科学分区，且分区管理责任明确的得2分。未提供相关依据或未划定责任片区的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安保人员管理制度方案进行评价：方案中有包含①用工制度、②考勤制度、③奖惩制度、④保密制度、⑤绩效管理制度的得1.8分；在此基础上，方案中对各项制度有详细说明和具体实施细则，能够结合本项目实际情况制定，具有较强可操作性和执行性的得2分。未提供方案或方案与本项目不符的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投标人承诺为所有保安服务人员提供统一服装的得3分，需提供服装采购发票扫描件或承诺函（格式自拟），未提供不得分。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配备的保安用品和警戒装备（需至少包括橡胶警棍或甩棍、防爆盾牌、钢叉、对讲机、雨具、手电筒等。）进行评价：至投标截止前现有安保设备为近5年内的，价值为20万以内（含）的得1分，25万元至30万元（含）的得2分，30万元以上的得3分。投标人须提供设备采购发票复印件及配置表或承诺配置及中标后配置清单及价格，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本项目的项目经理（1979年9月（含9月）之后出生）证书情况进行评分：①持有本科及以上学历证书，须提供学历证书及学信网（https://www.chsi.com.cn）查询截图；②持有政府部门颁发的保安员职业资格证书，须提供证书复印件及技能人才评价证书全国联网查询（http://zscx.osta.org.cn）截图；③具有红十字会颁发的急救员证或救护员证，须提供证书复印件；以上①至③项每满足一项得1分，满分3分。除提供①至③项要求的证明材料外，还须提供项目经理的身份证复印件及投标截止前六个月内任意一个月投标人为其缴纳的社保证明材料，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本项目的项目经理（1979年9月（含9月）之后出生）的工作经验进行评价：三甲医院工作经验≥5年的得3分，5年&gt;三甲医院工作经验≥2年的得1分；2年&gt;三甲医院工作经验≥1年的得0.5分。满分3分。须提供项目经理工作经验证明（即项目经理任职单位与该项目业主签订的合同复印件，合同须体现人员信息，若未能体现的，还须提供委托方盖章确认的其他佐证材料）及投标截止前六个月内任意一个月投标人为其缴纳的社保证明材料，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的保安队长（1979年9月（含9月）之后出生）证书情况进行评分：①具有职业技能鉴定指导中心颁发的建（构）筑消防员证或消防设施操作员证，须提供证书复印件及技能人才评价证书全国联网查询（http://zscx.osta.org.cn）截图；②持有部队颁发的退伍（或退役）军人证，须提供证书复印件；③持有政府部门颁发的保安员职业资格证书，须提供证书复印件及技能人才评价证书全国联网查询（http://zscx.osta.org.cn）截图；以上①至③项每满足一项得1分，满分3分。除提供①至③项要求的证明材料外，还须提供保安队长的身份证复印件及投标截止前六个月内任意一个月投标人为其缴纳的社保证明材料，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本项目的保安队长（1979年9月（含9月）之后出生）的工作经验进行评价：医院工作经验≥5年的得3分，5年&gt;医院工作经验≥3年的得1分；3年&gt;医院工作经验≥1年的得0.5分。满分3分。须提供保安队长工作经验证明（即保安队长任职单位与该项目业主签订的合同复印件，合同须体现人员信息，若未能体现的，还须提供委托方盖章确认的其他佐证材料）及投标截止前六个月内任意一个月投标人为其缴纳的社保证明材料，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的人员中，具有下列证书（三种任意一种即可）的人数进行评分：5人具有证书的得1分，6-9人具有证书的得2分，10人及以上具有证书的得3分，不足5人则不得分，满分3分。（1）公安机关颁发的安检保安员培训证书。（2）人社部门备案的鉴定机构/企业或民航局职业技能指导中心颁发的安检员证书。（3）人社部门备案的鉴定机构/企业颁发的保安员国家职业技能等级四级/中级工或以上证书。投标人须提供有效证书复印件，拟配置人员清单，否则不得分。</w:t>
            </w:r>
          </w:p>
        </w:tc>
      </w:tr>
      <w:tr>
        <w:tc>
          <w:tcPr>
            <w:tcW w:type="dxa" w:w="3322"/>
          </w:tcPr>
          <w:p>
            <w:pPr>
              <w:pStyle w:val="null3"/>
              <w:jc w:val="both"/>
            </w:pPr>
            <w:r>
              <w:rPr>
                <w:rFonts w:ascii="仿宋_GB2312" w:hAnsi="仿宋_GB2312" w:cs="仿宋_GB2312" w:eastAsia="仿宋_GB2312"/>
              </w:rPr>
              <w:t>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的人员中10人具有红十字会颁发的急救员证或救护员证的得1分，11-19人具有红十字会颁发的急救证或救护员证的得2分，20人及以上人员具有红十字会颁发的急救证或救护员证的得3分，不足10人不得分。投标人须提供有效证书复印件，拟配置人员清单，否则不得分。</w:t>
            </w:r>
          </w:p>
        </w:tc>
      </w:tr>
      <w:tr>
        <w:tc>
          <w:tcPr>
            <w:tcW w:type="dxa" w:w="3322"/>
          </w:tcPr>
          <w:p>
            <w:pPr>
              <w:pStyle w:val="null3"/>
              <w:jc w:val="both"/>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的人员中10人具有职业技能鉴定指导中心颁发建（构）筑消防员证或消防设施操作员证的得1分，11-19人具有建（构）筑消防员证或消防设施操作员证的得2分，20人及以上具有建（构）筑消防员证或消防设施操作员证得3分，不足10人不得分。投标人须提供有效证书复印件及技能人才评价证书全国联网查询（http://zscx.osta.org.cn）截图，拟配置人员清单，否则不得分。</w:t>
            </w:r>
          </w:p>
        </w:tc>
      </w:tr>
      <w:tr>
        <w:tc>
          <w:tcPr>
            <w:tcW w:type="dxa" w:w="3322"/>
          </w:tcPr>
          <w:p>
            <w:pPr>
              <w:pStyle w:val="null3"/>
              <w:jc w:val="both"/>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投标人承诺所有保安岗位将按照采购人的岗位表落实保安值班工作并做出书面承诺说明（格式自拟）的得2分，未提供承诺的不得分。</w:t>
            </w:r>
          </w:p>
        </w:tc>
      </w:tr>
      <w:tr>
        <w:tc>
          <w:tcPr>
            <w:tcW w:type="dxa" w:w="3322"/>
          </w:tcPr>
          <w:p>
            <w:pPr>
              <w:pStyle w:val="null3"/>
              <w:jc w:val="both"/>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投标人拟提供的人员中自2022年1月1日以来每具有一个由公安机关颁发的优秀或先进个人的得1分，满分得2分。投标人须提供获奖证书复印件或相关证明材料，否则不得分。</w:t>
            </w:r>
          </w:p>
        </w:tc>
      </w:tr>
      <w:tr>
        <w:tc>
          <w:tcPr>
            <w:tcW w:type="dxa" w:w="3322"/>
          </w:tcPr>
          <w:p>
            <w:pPr>
              <w:pStyle w:val="null3"/>
              <w:jc w:val="both"/>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档案管理制度进行评分：制度包含存档方式、存档期限、借阅流程、责任人的得2.8分；在此基础上，制度中针对存档方式、期限、流程、责任人等有详细操作细则，能结合本项目实际情况进行优化，可操作性强，能切实保障档案安全与规范管理的得3分。未提供制度或制度与本项目不符的不得分。</w:t>
            </w:r>
          </w:p>
        </w:tc>
      </w:tr>
    </w:tbl>
    <w:p>
      <w:pPr>
        <w:pStyle w:val="null3"/>
        <w:jc w:val="both"/>
      </w:pPr>
      <w:r>
        <w:rPr>
          <w:rFonts w:ascii="仿宋_GB2312" w:hAnsi="仿宋_GB2312" w:cs="仿宋_GB2312" w:eastAsia="仿宋_GB2312"/>
        </w:rPr>
        <w:t>商务项（F3×A3）满分为22.0000分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投标人在本项目投标截止时间前三年内无发生重大安全事故的得2分。投标人需提供承诺函（格式自拟），未提供的本项不得分。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投标人具有有效期内的，认证范围必须是“保安服务”的质量管理体系认证证书，并提供有效证书复印件的得1分，否则不得分。</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投标人具有有效期内的，认证范围必须是“保安服务”的环境管理体系认证证书，并提供有效证书复印件的得1分，否则不得分。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投标人具有有效期内的，认证范围必须是“保安服务”的职业健康安全管理体系认证，并提供有效证书复印件的得1分，否则不得分。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投标人自2022年1月1日以来获得过政府部门颁发的荣誉或奖项或锦旗，每提供1个得1分，满分3分，需提供奖牌照片或锦旗照片或有效证书复印件，未提供不得分。</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投标人承诺中标后在项目所在地设立安保项目部满足安保服务需要的得2分，需提供承诺函（格式自拟），未提供承诺的不得分。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投标人承诺合同签订后10天内所有安保人员和安保设备全部到位的得1分，需提供承诺函（格式自拟），未提供承诺的不得分。</w:t>
            </w:r>
          </w:p>
        </w:tc>
      </w:tr>
      <w:tr>
        <w:tc>
          <w:tcPr>
            <w:tcW w:type="dxa" w:w="3322"/>
          </w:tcPr>
          <w:p>
            <w:pPr>
              <w:pStyle w:val="null3"/>
              <w:jc w:val="left"/>
            </w:pPr>
            <w:r>
              <w:rPr>
                <w:rFonts w:ascii="仿宋_GB2312" w:hAnsi="仿宋_GB2312" w:cs="仿宋_GB2312" w:eastAsia="仿宋_GB2312"/>
              </w:rPr>
              <w:t>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安全承诺：投标人承诺中标后，在服务期内，对拟投入的所有人员购买雇主责任保险，若发生人员安全损失事故，投标人承担全部责任，提供承诺的得2分，需提供承诺函（格式自拟），否则不得分。</w:t>
            </w:r>
          </w:p>
        </w:tc>
      </w:tr>
      <w:tr>
        <w:tc>
          <w:tcPr>
            <w:tcW w:type="dxa" w:w="3322"/>
          </w:tcPr>
          <w:p>
            <w:pPr>
              <w:pStyle w:val="null3"/>
              <w:jc w:val="left"/>
            </w:pPr>
            <w:r>
              <w:rPr>
                <w:rFonts w:ascii="仿宋_GB2312" w:hAnsi="仿宋_GB2312" w:cs="仿宋_GB2312" w:eastAsia="仿宋_GB2312"/>
              </w:rPr>
              <w:t>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保障投标人与采购人之间能做到有效沟通，投标人承诺项目经理≤1小时内到达采购人处的得3分；1小时＜到达现场时间≤2小时到达采购人处的得2分；2小时＜到达现场时间≤3小时到达采购人处的得1分；需提供承诺函（格式自拟），其他情况或未提供承诺函不得分。</w:t>
            </w:r>
          </w:p>
        </w:tc>
      </w:tr>
      <w:tr>
        <w:tc>
          <w:tcPr>
            <w:tcW w:type="dxa" w:w="3322"/>
          </w:tcPr>
          <w:p>
            <w:pPr>
              <w:pStyle w:val="null3"/>
              <w:jc w:val="left"/>
            </w:pPr>
            <w:r>
              <w:rPr>
                <w:rFonts w:ascii="仿宋_GB2312" w:hAnsi="仿宋_GB2312" w:cs="仿宋_GB2312" w:eastAsia="仿宋_GB2312"/>
              </w:rPr>
              <w:t>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2022年1月1日以来承担过的安保服务项目业绩进行综合评分：每个项目业绩得1分，满分3分，投标人须提供该业绩项目以下资料的有效复印件（原件备查）：（1）中标（成交）公告（提供相关网站中标或成交公告的下载网页及其网址）；（2）中标（成交）通知书；（3）采购合同文本；（4）能够证明该业绩项目已经采购人验收合格的相关证明文件。如未按照以上要求提供该项目业绩完整资料的，评标委员会对该项业绩将不予采信。</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2022年1月1日以来承担过的安保服务项目获得业主满意度进行评价：每提供一个业主满意度优（需体现优或满意字眼）及以上或满意度90分及以上的项目得1分，满分3分，须提供合同复印件及满意度评价证明，否则不得分。提供的项目不得与商务评分条款第10条重合，否则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(1)招标文件第七章“投标文件格式”中“中小企业声明函(工程、服务)”关于“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的内容。修改为“2、投标人须按招标文件中明确的所属行业填列，否则，其提供的中小企业声明将被判定为无效声明函，由此造成的后果由投标人自行承担(涉及资格的按无效投标处理；涉及价格评审优惠的，不予认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color w:val="000000"/>
        </w:rPr>
        <w:t>本项目为复旦大学附属中山医院厦门医院保安服务项目，满足院区日常保安工作所需服务</w:t>
      </w:r>
      <w:r>
        <w:rPr>
          <w:rFonts w:ascii="仿宋_GB2312" w:hAnsi="仿宋_GB2312" w:cs="仿宋_GB2312" w:eastAsia="仿宋_GB2312"/>
          <w:sz w:val="24"/>
          <w:color w:val="000000"/>
        </w:rPr>
        <w:t>，签订一家保安服务供应商为采购人提供3年（如：2025年7月1日-2028年6月30日）的保安服务。</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本项目服务要求：</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项目人数：73人。包含骨干人员配备：项目经理一名，队长一名，文员一名。</w:t>
      </w:r>
    </w:p>
    <w:p>
      <w:pPr>
        <w:pStyle w:val="null3"/>
        <w:ind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岗位配备及人员职责要求：</w:t>
      </w:r>
    </w:p>
    <w:p>
      <w:pPr>
        <w:pStyle w:val="null3"/>
        <w:ind w:firstLine="480"/>
        <w:jc w:val="both"/>
      </w:pPr>
      <w:r>
        <w:rPr>
          <w:rFonts w:ascii="仿宋_GB2312" w:hAnsi="仿宋_GB2312" w:cs="仿宋_GB2312" w:eastAsia="仿宋_GB2312"/>
          <w:sz w:val="24"/>
          <w:color w:val="000000"/>
        </w:rPr>
        <w:t>岗位配备如下：</w:t>
      </w:r>
    </w:p>
    <w:tbl>
      <w:tblPr>
        <w:tblW w:w="0" w:type="auto"/>
        <w:tblBorders>
          <w:top w:val="none" w:color="000000" w:sz="4"/>
          <w:left w:val="none" w:color="000000" w:sz="4"/>
          <w:bottom w:val="none" w:color="000000" w:sz="4"/>
          <w:right w:val="none" w:color="000000" w:sz="4"/>
          <w:insideH w:val="none"/>
          <w:insideV w:val="none"/>
        </w:tblBorders>
      </w:tblPr>
      <w:tblGrid>
        <w:gridCol w:w="781"/>
        <w:gridCol w:w="961"/>
        <w:gridCol w:w="961"/>
        <w:gridCol w:w="1051"/>
        <w:gridCol w:w="1051"/>
        <w:gridCol w:w="871"/>
        <w:gridCol w:w="616"/>
        <w:gridCol w:w="1307"/>
        <w:gridCol w:w="706"/>
      </w:tblGrid>
      <w:tr>
        <w:tc>
          <w:tcPr>
            <w:tcW w:type="dxa" w:w="567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白班</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类别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楼号</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楼层</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区域</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w:t>
            </w:r>
          </w:p>
          <w:p>
            <w:pPr>
              <w:pStyle w:val="null3"/>
              <w:jc w:val="center"/>
            </w:pPr>
            <w:r>
              <w:rPr>
                <w:rFonts w:ascii="仿宋_GB2312" w:hAnsi="仿宋_GB2312" w:cs="仿宋_GB2312" w:eastAsia="仿宋_GB2312"/>
                <w:sz w:val="24"/>
                <w:color w:val="000000"/>
              </w:rPr>
              <w:t>时间</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岗位数</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工时性质</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核定人数</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项目经理</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不定</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项目经理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做5休2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队长</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不定</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保安队长</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文员</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不定</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保卫部文员</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vMerge/>
            <w:tcBorders>
              <w:top w:val="none" w:color="000000" w:sz="4"/>
              <w:left w:val="none" w:color="000000" w:sz="4"/>
              <w:bottom w:val="single" w:color="000000" w:sz="4"/>
              <w:right w:val="single" w:color="000000" w:sz="4"/>
            </w:tcBorders>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班长</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不定</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白班带班班长</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号门</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号门白班门卫</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号门</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号门白班门卫</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号门</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号门白班门卫</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号门</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号门白班门卫</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r>
              <w:rPr>
                <w:rFonts w:ascii="仿宋_GB2312" w:hAnsi="仿宋_GB2312" w:cs="仿宋_GB2312" w:eastAsia="仿宋_GB2312"/>
                <w:sz w:val="24"/>
                <w:color w:val="000000"/>
              </w:rPr>
              <w:t>号门</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r>
              <w:rPr>
                <w:rFonts w:ascii="仿宋_GB2312" w:hAnsi="仿宋_GB2312" w:cs="仿宋_GB2312" w:eastAsia="仿宋_GB2312"/>
                <w:sz w:val="24"/>
                <w:color w:val="000000"/>
              </w:rPr>
              <w:t>号门白班门卫</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r>
              <w:rPr>
                <w:rFonts w:ascii="仿宋_GB2312" w:hAnsi="仿宋_GB2312" w:cs="仿宋_GB2312" w:eastAsia="仿宋_GB2312"/>
                <w:sz w:val="24"/>
                <w:color w:val="000000"/>
              </w:rPr>
              <w:t>号门</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r>
              <w:rPr>
                <w:rFonts w:ascii="仿宋_GB2312" w:hAnsi="仿宋_GB2312" w:cs="仿宋_GB2312" w:eastAsia="仿宋_GB2312"/>
                <w:sz w:val="24"/>
                <w:color w:val="000000"/>
              </w:rPr>
              <w:t>号门白班门卫</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一期巡逻</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门诊1F大厅</w:t>
            </w:r>
          </w:p>
          <w:p>
            <w:pPr>
              <w:pStyle w:val="null3"/>
              <w:jc w:val="center"/>
            </w:pPr>
            <w:r>
              <w:rPr>
                <w:rFonts w:ascii="仿宋_GB2312" w:hAnsi="仿宋_GB2312" w:cs="仿宋_GB2312" w:eastAsia="仿宋_GB2312"/>
                <w:sz w:val="24"/>
                <w:color w:val="000000"/>
              </w:rPr>
              <w:t>白班巡逻</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一期巡逻</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门诊2楼</w:t>
            </w:r>
          </w:p>
          <w:p>
            <w:pPr>
              <w:pStyle w:val="null3"/>
              <w:jc w:val="center"/>
            </w:pPr>
            <w:r>
              <w:rPr>
                <w:rFonts w:ascii="仿宋_GB2312" w:hAnsi="仿宋_GB2312" w:cs="仿宋_GB2312" w:eastAsia="仿宋_GB2312"/>
                <w:sz w:val="24"/>
                <w:color w:val="000000"/>
              </w:rPr>
              <w:t>白班巡逻</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一期巡逻</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高级专家门诊</w:t>
            </w:r>
          </w:p>
          <w:p>
            <w:pPr>
              <w:pStyle w:val="null3"/>
              <w:jc w:val="center"/>
            </w:pPr>
            <w:r>
              <w:rPr>
                <w:rFonts w:ascii="仿宋_GB2312" w:hAnsi="仿宋_GB2312" w:cs="仿宋_GB2312" w:eastAsia="仿宋_GB2312"/>
                <w:sz w:val="24"/>
                <w:color w:val="000000"/>
              </w:rPr>
              <w:t>白班巡逻</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一期巡逻</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急救通道白班</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一期巡逻</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住院收费处</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一期巡逻</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不定</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病区常驻巡逻</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车库收费</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负一楼</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负一层出口收费及出租车道巡逻</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车库收费</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负二楼</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负二层出口收费</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一期巡逻</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不定</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院内白班巡逻</w:t>
            </w:r>
          </w:p>
          <w:p>
            <w:pPr>
              <w:pStyle w:val="null3"/>
              <w:jc w:val="center"/>
            </w:pPr>
            <w:r>
              <w:rPr>
                <w:rFonts w:ascii="仿宋_GB2312" w:hAnsi="仿宋_GB2312" w:cs="仿宋_GB2312" w:eastAsia="仿宋_GB2312"/>
                <w:sz w:val="24"/>
                <w:color w:val="000000"/>
              </w:rPr>
              <w:t>（含巡更打点）</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住院部</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号楼</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8F</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8F</w:t>
            </w:r>
            <w:r>
              <w:rPr>
                <w:rFonts w:ascii="仿宋_GB2312" w:hAnsi="仿宋_GB2312" w:cs="仿宋_GB2312" w:eastAsia="仿宋_GB2312"/>
                <w:sz w:val="24"/>
                <w:color w:val="000000"/>
              </w:rPr>
              <w:t>无陪护病房</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住院部</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号楼</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10F</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10F</w:t>
            </w:r>
            <w:r>
              <w:rPr>
                <w:rFonts w:ascii="仿宋_GB2312" w:hAnsi="仿宋_GB2312" w:cs="仿宋_GB2312" w:eastAsia="仿宋_GB2312"/>
                <w:sz w:val="24"/>
                <w:color w:val="000000"/>
              </w:rPr>
              <w:t>无陪护病房</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科研中心门卫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门岗</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科研中心门卫</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科研中心巡逻</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不定</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科研中心</w:t>
            </w:r>
          </w:p>
          <w:p>
            <w:pPr>
              <w:pStyle w:val="null3"/>
              <w:jc w:val="center"/>
            </w:pPr>
            <w:r>
              <w:rPr>
                <w:rFonts w:ascii="仿宋_GB2312" w:hAnsi="仿宋_GB2312" w:cs="仿宋_GB2312" w:eastAsia="仿宋_GB2312"/>
                <w:sz w:val="24"/>
                <w:color w:val="000000"/>
              </w:rPr>
              <w:t>白班巡逻</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一期安全检查</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号楼住院部大厅</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号楼2号门</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住院部1号楼2号门安全检查</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一期安全检查</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r>
              <w:rPr>
                <w:rFonts w:ascii="仿宋_GB2312" w:hAnsi="仿宋_GB2312" w:cs="仿宋_GB2312" w:eastAsia="仿宋_GB2312"/>
                <w:sz w:val="24"/>
                <w:color w:val="000000"/>
              </w:rPr>
              <w:t>号楼门诊大厅</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p>
          <w:p>
            <w:pPr>
              <w:pStyle w:val="null3"/>
              <w:jc w:val="center"/>
            </w:pPr>
            <w:r>
              <w:rPr>
                <w:rFonts w:ascii="仿宋_GB2312" w:hAnsi="仿宋_GB2312" w:cs="仿宋_GB2312" w:eastAsia="仿宋_GB2312"/>
                <w:sz w:val="24"/>
                <w:color w:val="000000"/>
              </w:rPr>
              <w:t>大厅</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r>
              <w:rPr>
                <w:rFonts w:ascii="仿宋_GB2312" w:hAnsi="仿宋_GB2312" w:cs="仿宋_GB2312" w:eastAsia="仿宋_GB2312"/>
                <w:sz w:val="24"/>
                <w:color w:val="000000"/>
              </w:rPr>
              <w:t>号楼门诊大厅大门安全检查</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r>
      <w:tr>
        <w:tc>
          <w:tcPr>
            <w:tcW w:type="dxa" w:w="629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夜班</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类别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楼号</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楼层</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区域</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工作时间</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岗位数</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核定人数</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班长</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不定</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夜班带班班长</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号门</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号门夜班门卫</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号门</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号门夜班门卫</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号门</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号门夜班门卫</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r>
              <w:rPr>
                <w:rFonts w:ascii="仿宋_GB2312" w:hAnsi="仿宋_GB2312" w:cs="仿宋_GB2312" w:eastAsia="仿宋_GB2312"/>
                <w:sz w:val="24"/>
                <w:color w:val="000000"/>
              </w:rPr>
              <w:t>号门</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r>
              <w:rPr>
                <w:rFonts w:ascii="仿宋_GB2312" w:hAnsi="仿宋_GB2312" w:cs="仿宋_GB2312" w:eastAsia="仿宋_GB2312"/>
                <w:sz w:val="24"/>
                <w:color w:val="000000"/>
              </w:rPr>
              <w:t>号门夜班门卫</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门卫</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r>
              <w:rPr>
                <w:rFonts w:ascii="仿宋_GB2312" w:hAnsi="仿宋_GB2312" w:cs="仿宋_GB2312" w:eastAsia="仿宋_GB2312"/>
                <w:sz w:val="24"/>
                <w:color w:val="000000"/>
              </w:rPr>
              <w:t>号门</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r>
              <w:rPr>
                <w:rFonts w:ascii="仿宋_GB2312" w:hAnsi="仿宋_GB2312" w:cs="仿宋_GB2312" w:eastAsia="仿宋_GB2312"/>
                <w:sz w:val="24"/>
                <w:color w:val="000000"/>
              </w:rPr>
              <w:t>号门夜班门卫</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巡逻</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门诊1F大厅</w:t>
            </w:r>
          </w:p>
          <w:p>
            <w:pPr>
              <w:pStyle w:val="null3"/>
              <w:jc w:val="center"/>
            </w:pPr>
            <w:r>
              <w:rPr>
                <w:rFonts w:ascii="仿宋_GB2312" w:hAnsi="仿宋_GB2312" w:cs="仿宋_GB2312" w:eastAsia="仿宋_GB2312"/>
                <w:sz w:val="24"/>
                <w:color w:val="000000"/>
              </w:rPr>
              <w:t>夜班巡逻</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巡逻</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急救通道夜班</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巡逻</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不定</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院内夜班巡逻</w:t>
            </w:r>
          </w:p>
          <w:p>
            <w:pPr>
              <w:pStyle w:val="null3"/>
              <w:jc w:val="center"/>
            </w:pPr>
            <w:r>
              <w:rPr>
                <w:rFonts w:ascii="仿宋_GB2312" w:hAnsi="仿宋_GB2312" w:cs="仿宋_GB2312" w:eastAsia="仿宋_GB2312"/>
                <w:sz w:val="24"/>
                <w:color w:val="000000"/>
              </w:rPr>
              <w:t>（含巡逻打点）</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车库收费</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负二楼</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车库出口</w:t>
            </w:r>
          </w:p>
          <w:p>
            <w:pPr>
              <w:pStyle w:val="null3"/>
              <w:jc w:val="center"/>
            </w:pPr>
            <w:r>
              <w:rPr>
                <w:rFonts w:ascii="仿宋_GB2312" w:hAnsi="仿宋_GB2312" w:cs="仿宋_GB2312" w:eastAsia="仿宋_GB2312"/>
                <w:sz w:val="24"/>
                <w:color w:val="000000"/>
              </w:rPr>
              <w:t>收费夜班</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科研楼二期</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门岗</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科研楼门岗</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做1休1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科研中心巡逻</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全院</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不定</w:t>
            </w:r>
          </w:p>
        </w:tc>
        <w:tc>
          <w:tcPr>
            <w:tcW w:type="dxa" w:w="2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科研中心</w:t>
            </w:r>
          </w:p>
          <w:p>
            <w:pPr>
              <w:pStyle w:val="null3"/>
              <w:jc w:val="center"/>
            </w:pPr>
            <w:r>
              <w:rPr>
                <w:rFonts w:ascii="仿宋_GB2312" w:hAnsi="仿宋_GB2312" w:cs="仿宋_GB2312" w:eastAsia="仿宋_GB2312"/>
                <w:sz w:val="24"/>
                <w:color w:val="000000"/>
              </w:rPr>
              <w:t>夜班巡逻</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p>
            <w:pPr>
              <w:pStyle w:val="null3"/>
              <w:jc w:val="center"/>
            </w:pPr>
            <w:r>
              <w:rPr>
                <w:rFonts w:ascii="仿宋_GB2312" w:hAnsi="仿宋_GB2312" w:cs="仿宋_GB2312" w:eastAsia="仿宋_GB2312"/>
                <w:sz w:val="24"/>
                <w:color w:val="000000"/>
              </w:rPr>
              <w:t>小时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总计</w:t>
            </w: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r>
    </w:tbl>
    <w:p>
      <w:pPr>
        <w:pStyle w:val="null3"/>
        <w:ind w:firstLine="480"/>
      </w:pPr>
      <w:r>
        <w:rPr>
          <w:rFonts w:ascii="仿宋_GB2312" w:hAnsi="仿宋_GB2312" w:cs="仿宋_GB2312" w:eastAsia="仿宋_GB2312"/>
          <w:sz w:val="24"/>
          <w:b/>
          <w:color w:val="000000"/>
        </w:rPr>
        <w:t>★中标人需保证每日到岗的保安人员不少于38人（38人中包含三名骨干人员，白班不少于24人，夜班不少于14人），投标人需提供书面承诺函（格式自拟）。</w:t>
      </w:r>
    </w:p>
    <w:p>
      <w:pPr>
        <w:pStyle w:val="null3"/>
        <w:ind w:firstLine="480"/>
      </w:pPr>
      <w:r>
        <w:rPr>
          <w:rFonts w:ascii="仿宋_GB2312" w:hAnsi="仿宋_GB2312" w:cs="仿宋_GB2312" w:eastAsia="仿宋_GB2312"/>
          <w:sz w:val="24"/>
          <w:color w:val="000000"/>
        </w:rPr>
        <w:t>1.3.</w:t>
      </w:r>
      <w:r>
        <w:rPr>
          <w:rFonts w:ascii="仿宋_GB2312" w:hAnsi="仿宋_GB2312" w:cs="仿宋_GB2312" w:eastAsia="仿宋_GB2312"/>
          <w:sz w:val="24"/>
          <w:color w:val="000000"/>
        </w:rPr>
        <w:t>工作时间要求：24小时轮班制，具体根据医院实际情况安排。中标人应合理安排保安人员作息及休息时间，如遇医院大型活动会议等需要安保保障时，应无条件接受医院调配。</w:t>
      </w:r>
    </w:p>
    <w:p>
      <w:pPr>
        <w:pStyle w:val="null3"/>
        <w:ind w:firstLine="480"/>
      </w:pPr>
      <w:r>
        <w:rPr>
          <w:rFonts w:ascii="仿宋_GB2312" w:hAnsi="仿宋_GB2312" w:cs="仿宋_GB2312" w:eastAsia="仿宋_GB2312"/>
          <w:sz w:val="24"/>
          <w:color w:val="000000"/>
        </w:rPr>
        <w:t>1.4.</w:t>
      </w:r>
      <w:r>
        <w:rPr>
          <w:rFonts w:ascii="仿宋_GB2312" w:hAnsi="仿宋_GB2312" w:cs="仿宋_GB2312" w:eastAsia="仿宋_GB2312"/>
          <w:sz w:val="24"/>
          <w:color w:val="000000"/>
        </w:rPr>
        <w:t>服务要求：</w:t>
      </w:r>
    </w:p>
    <w:p>
      <w:pPr>
        <w:pStyle w:val="null3"/>
        <w:ind w:firstLine="480"/>
      </w:pPr>
      <w:r>
        <w:rPr>
          <w:rFonts w:ascii="仿宋_GB2312" w:hAnsi="仿宋_GB2312" w:cs="仿宋_GB2312" w:eastAsia="仿宋_GB2312"/>
          <w:sz w:val="24"/>
          <w:color w:val="000000"/>
        </w:rPr>
        <w:t>1.4.1.</w:t>
      </w:r>
      <w:r>
        <w:rPr>
          <w:rFonts w:ascii="仿宋_GB2312" w:hAnsi="仿宋_GB2312" w:cs="仿宋_GB2312" w:eastAsia="仿宋_GB2312"/>
          <w:sz w:val="24"/>
          <w:color w:val="000000"/>
        </w:rPr>
        <w:t>保安人员应接受采购单位和本单位保卫部门的双重领导，服从调度；保安人员岗位设置任务安排根据双方约定安排；</w:t>
      </w:r>
    </w:p>
    <w:p>
      <w:pPr>
        <w:pStyle w:val="null3"/>
        <w:ind w:firstLine="480"/>
      </w:pPr>
      <w:r>
        <w:rPr>
          <w:rFonts w:ascii="仿宋_GB2312" w:hAnsi="仿宋_GB2312" w:cs="仿宋_GB2312" w:eastAsia="仿宋_GB2312"/>
          <w:sz w:val="24"/>
          <w:color w:val="000000"/>
        </w:rPr>
        <w:t>1.4.2.</w:t>
      </w:r>
      <w:r>
        <w:rPr>
          <w:rFonts w:ascii="仿宋_GB2312" w:hAnsi="仿宋_GB2312" w:cs="仿宋_GB2312" w:eastAsia="仿宋_GB2312"/>
          <w:sz w:val="24"/>
          <w:color w:val="000000"/>
        </w:rPr>
        <w:t>应加强安全监控、疫情防控、巡查、门岗执勤、反恐、消防等，确保安全，严防各项设施失窃、被盗、蓄意破坏、伤人、火灾、暴恐等事件的发生；</w:t>
      </w:r>
    </w:p>
    <w:p>
      <w:pPr>
        <w:pStyle w:val="null3"/>
        <w:ind w:firstLine="480"/>
      </w:pPr>
      <w:r>
        <w:rPr>
          <w:rFonts w:ascii="仿宋_GB2312" w:hAnsi="仿宋_GB2312" w:cs="仿宋_GB2312" w:eastAsia="仿宋_GB2312"/>
          <w:sz w:val="24"/>
          <w:color w:val="000000"/>
        </w:rPr>
        <w:t>1.4.3.</w:t>
      </w:r>
      <w:r>
        <w:rPr>
          <w:rFonts w:ascii="仿宋_GB2312" w:hAnsi="仿宋_GB2312" w:cs="仿宋_GB2312" w:eastAsia="仿宋_GB2312"/>
          <w:sz w:val="24"/>
          <w:color w:val="000000"/>
        </w:rPr>
        <w:t>门诊区域日常巡逻30分钟内不少于一次，加强中午、晚上以及节假日期间的值班巡逻；其他关键部位要设立巡逻签到点，30分钟内巡逻不少于两次；</w:t>
      </w:r>
    </w:p>
    <w:p>
      <w:pPr>
        <w:pStyle w:val="null3"/>
        <w:ind w:firstLine="480"/>
      </w:pPr>
      <w:r>
        <w:rPr>
          <w:rFonts w:ascii="仿宋_GB2312" w:hAnsi="仿宋_GB2312" w:cs="仿宋_GB2312" w:eastAsia="仿宋_GB2312"/>
          <w:sz w:val="24"/>
          <w:color w:val="000000"/>
        </w:rPr>
        <w:t>1.4.4.</w:t>
      </w:r>
      <w:r>
        <w:rPr>
          <w:rFonts w:ascii="仿宋_GB2312" w:hAnsi="仿宋_GB2312" w:cs="仿宋_GB2312" w:eastAsia="仿宋_GB2312"/>
          <w:sz w:val="24"/>
          <w:color w:val="000000"/>
        </w:rPr>
        <w:t>应根据值班岗位要求和实际情况合理制定、安排值勤时间确定岗位职责等，设置巡检路线，实施24小时护卫值班、巡逻检查，确保万无一失；负责各楼公共区域所有通道的大门开放、关锁工作；</w:t>
      </w:r>
    </w:p>
    <w:p>
      <w:pPr>
        <w:pStyle w:val="null3"/>
        <w:ind w:firstLine="480"/>
      </w:pPr>
      <w:r>
        <w:rPr>
          <w:rFonts w:ascii="仿宋_GB2312" w:hAnsi="仿宋_GB2312" w:cs="仿宋_GB2312" w:eastAsia="仿宋_GB2312"/>
          <w:sz w:val="24"/>
          <w:color w:val="000000"/>
        </w:rPr>
        <w:t>1.4.5.</w:t>
      </w:r>
      <w:r>
        <w:rPr>
          <w:rFonts w:ascii="仿宋_GB2312" w:hAnsi="仿宋_GB2312" w:cs="仿宋_GB2312" w:eastAsia="仿宋_GB2312"/>
          <w:sz w:val="24"/>
          <w:color w:val="000000"/>
        </w:rPr>
        <w:t>做好消防演习的安排计划，做好消防演习的实施工作；做好反恐防暴演练的安排计划，做好反恐防暴演习的实施工作，特别要联系配合辖区派出所做好反恐防暴演练的实施工作；</w:t>
      </w:r>
    </w:p>
    <w:p>
      <w:pPr>
        <w:pStyle w:val="null3"/>
        <w:ind w:firstLine="480"/>
      </w:pPr>
      <w:r>
        <w:rPr>
          <w:rFonts w:ascii="仿宋_GB2312" w:hAnsi="仿宋_GB2312" w:cs="仿宋_GB2312" w:eastAsia="仿宋_GB2312"/>
          <w:sz w:val="24"/>
          <w:color w:val="000000"/>
        </w:rPr>
        <w:t>1.4.6.</w:t>
      </w:r>
      <w:r>
        <w:rPr>
          <w:rFonts w:ascii="仿宋_GB2312" w:hAnsi="仿宋_GB2312" w:cs="仿宋_GB2312" w:eastAsia="仿宋_GB2312"/>
          <w:sz w:val="24"/>
          <w:color w:val="000000"/>
        </w:rPr>
        <w:t>负责对来访人员进行验证、登记、杜绝闲杂人员，并对进入管理区内的车辆停放进行管理，人车分流有序，车辆停放有序，通行顺畅。自行车、摩托车、机动车等各种车辆停放有序，有专人指引按规定停放车位或指定地点，做到车辆停放规范、整齐、分类、安全；</w:t>
      </w:r>
    </w:p>
    <w:p>
      <w:pPr>
        <w:pStyle w:val="null3"/>
        <w:ind w:firstLine="480"/>
      </w:pPr>
      <w:r>
        <w:rPr>
          <w:rFonts w:ascii="仿宋_GB2312" w:hAnsi="仿宋_GB2312" w:cs="仿宋_GB2312" w:eastAsia="仿宋_GB2312"/>
          <w:sz w:val="24"/>
          <w:color w:val="000000"/>
        </w:rPr>
        <w:t>1.4.7.</w:t>
      </w:r>
      <w:r>
        <w:rPr>
          <w:rFonts w:ascii="仿宋_GB2312" w:hAnsi="仿宋_GB2312" w:cs="仿宋_GB2312" w:eastAsia="仿宋_GB2312"/>
          <w:sz w:val="24"/>
          <w:color w:val="000000"/>
        </w:rPr>
        <w:t>采购人有权对中标人制定、安排的值班、执勤、巡逻等情况进行检查、监督及提出意见。中标人应对采购人发现的问题或者提出的意见无条件进行整改或调整；</w:t>
      </w:r>
    </w:p>
    <w:p>
      <w:pPr>
        <w:pStyle w:val="null3"/>
        <w:ind w:firstLine="480"/>
      </w:pPr>
      <w:r>
        <w:rPr>
          <w:rFonts w:ascii="仿宋_GB2312" w:hAnsi="仿宋_GB2312" w:cs="仿宋_GB2312" w:eastAsia="仿宋_GB2312"/>
          <w:sz w:val="24"/>
          <w:color w:val="000000"/>
        </w:rPr>
        <w:t>1.4.8.</w:t>
      </w:r>
      <w:r>
        <w:rPr>
          <w:rFonts w:ascii="仿宋_GB2312" w:hAnsi="仿宋_GB2312" w:cs="仿宋_GB2312" w:eastAsia="仿宋_GB2312"/>
          <w:sz w:val="24"/>
          <w:color w:val="000000"/>
        </w:rPr>
        <w:t>抓好保安队伍的建设和业务培训；中标人应遵守保密规定，不得泄露医院涉密信息和患者任何隐私；完成采购人交付的其他保障工作。</w:t>
      </w:r>
    </w:p>
    <w:p>
      <w:pPr>
        <w:pStyle w:val="null3"/>
        <w:ind w:firstLine="480"/>
      </w:pPr>
      <w:r>
        <w:rPr>
          <w:rFonts w:ascii="仿宋_GB2312" w:hAnsi="仿宋_GB2312" w:cs="仿宋_GB2312" w:eastAsia="仿宋_GB2312"/>
          <w:sz w:val="24"/>
          <w:color w:val="000000"/>
        </w:rPr>
        <w:t>1.5.</w:t>
      </w:r>
      <w:r>
        <w:rPr>
          <w:rFonts w:ascii="仿宋_GB2312" w:hAnsi="仿宋_GB2312" w:cs="仿宋_GB2312" w:eastAsia="仿宋_GB2312"/>
          <w:sz w:val="24"/>
          <w:color w:val="000000"/>
        </w:rPr>
        <w:t>安保工作基本要求：</w:t>
      </w:r>
    </w:p>
    <w:p>
      <w:pPr>
        <w:pStyle w:val="null3"/>
        <w:ind w:firstLine="480"/>
      </w:pPr>
      <w:r>
        <w:rPr>
          <w:rFonts w:ascii="仿宋_GB2312" w:hAnsi="仿宋_GB2312" w:cs="仿宋_GB2312" w:eastAsia="仿宋_GB2312"/>
          <w:sz w:val="24"/>
          <w:color w:val="000000"/>
        </w:rPr>
        <w:t>1.5.1.</w:t>
      </w:r>
      <w:r>
        <w:rPr>
          <w:rFonts w:ascii="仿宋_GB2312" w:hAnsi="仿宋_GB2312" w:cs="仿宋_GB2312" w:eastAsia="仿宋_GB2312"/>
          <w:sz w:val="24"/>
          <w:color w:val="000000"/>
        </w:rPr>
        <w:t>在采购人的直接领导下，开展各项工作；根据采购人的要求做好疫情防控；</w:t>
      </w:r>
    </w:p>
    <w:p>
      <w:pPr>
        <w:pStyle w:val="null3"/>
        <w:ind w:firstLine="480"/>
      </w:pPr>
      <w:r>
        <w:rPr>
          <w:rFonts w:ascii="仿宋_GB2312" w:hAnsi="仿宋_GB2312" w:cs="仿宋_GB2312" w:eastAsia="仿宋_GB2312"/>
          <w:sz w:val="24"/>
          <w:color w:val="000000"/>
        </w:rPr>
        <w:t>1.5.2.</w:t>
      </w:r>
      <w:r>
        <w:rPr>
          <w:rFonts w:ascii="仿宋_GB2312" w:hAnsi="仿宋_GB2312" w:cs="仿宋_GB2312" w:eastAsia="仿宋_GB2312"/>
          <w:sz w:val="24"/>
          <w:color w:val="000000"/>
        </w:rPr>
        <w:t>预防和防止任何危及生命和财产安全的行为，维护正常秩序，维护办公区域安全，保护好采购人财产及附属设施不受人为损坏；保全各类财产不被偷盗。发现违法犯罪行为的，应当予以制止；对制止无效的应当立即报警，同时采取措施保护现场；</w:t>
      </w:r>
    </w:p>
    <w:p>
      <w:pPr>
        <w:pStyle w:val="null3"/>
        <w:ind w:firstLine="480"/>
      </w:pPr>
      <w:r>
        <w:rPr>
          <w:rFonts w:ascii="仿宋_GB2312" w:hAnsi="仿宋_GB2312" w:cs="仿宋_GB2312" w:eastAsia="仿宋_GB2312"/>
          <w:sz w:val="24"/>
          <w:color w:val="000000"/>
        </w:rPr>
        <w:t>1.5.3.24</w:t>
      </w:r>
      <w:r>
        <w:rPr>
          <w:rFonts w:ascii="仿宋_GB2312" w:hAnsi="仿宋_GB2312" w:cs="仿宋_GB2312" w:eastAsia="仿宋_GB2312"/>
          <w:sz w:val="24"/>
          <w:color w:val="000000"/>
        </w:rPr>
        <w:t>小时站岗值班（含把门、引导车辆、来访登记、物品出入管理）；24小时全天候巡视（含楼内门窗防盗巡视及大楼进出门开关），负责对整个范围内的公共部位、道路广场、公共场所、消防设施的安全防范工作，及时处置恐暴、火灾火情等突发事件；</w:t>
      </w:r>
    </w:p>
    <w:p>
      <w:pPr>
        <w:pStyle w:val="null3"/>
        <w:ind w:firstLine="480"/>
      </w:pPr>
      <w:r>
        <w:rPr>
          <w:rFonts w:ascii="仿宋_GB2312" w:hAnsi="仿宋_GB2312" w:cs="仿宋_GB2312" w:eastAsia="仿宋_GB2312"/>
          <w:sz w:val="24"/>
          <w:color w:val="000000"/>
        </w:rPr>
        <w:t>1.5.4.</w:t>
      </w:r>
      <w:r>
        <w:rPr>
          <w:rFonts w:ascii="仿宋_GB2312" w:hAnsi="仿宋_GB2312" w:cs="仿宋_GB2312" w:eastAsia="仿宋_GB2312"/>
          <w:sz w:val="24"/>
          <w:color w:val="000000"/>
        </w:rPr>
        <w:t>台风及暴雨等各类恶劣天气来临之前应按采购人要求做好各种防范工作，人员及时到岗，并增派人员做好防台风暴雨及善后工作；在此期间，实行全天候值班，协助疏散人员，尽全力保护好人员及财产安全；设立应急救助预案，实行救助；</w:t>
      </w:r>
    </w:p>
    <w:p>
      <w:pPr>
        <w:pStyle w:val="null3"/>
        <w:ind w:firstLine="480"/>
      </w:pPr>
      <w:r>
        <w:rPr>
          <w:rFonts w:ascii="仿宋_GB2312" w:hAnsi="仿宋_GB2312" w:cs="仿宋_GB2312" w:eastAsia="仿宋_GB2312"/>
          <w:sz w:val="24"/>
          <w:color w:val="000000"/>
        </w:rPr>
        <w:t>1.5.5.</w:t>
      </w:r>
      <w:r>
        <w:rPr>
          <w:rFonts w:ascii="仿宋_GB2312" w:hAnsi="仿宋_GB2312" w:cs="仿宋_GB2312" w:eastAsia="仿宋_GB2312"/>
          <w:sz w:val="24"/>
          <w:color w:val="000000"/>
        </w:rPr>
        <w:t>定时开、闭各楼房及通道门；对进入人员进行询问及登记，盘查可疑的陌生人，要求出示来访凭证或职工身份证件确认；引导各种车辆有序停放，人车分流有序，通行顺畅，保障人车安全；</w:t>
      </w:r>
    </w:p>
    <w:p>
      <w:pPr>
        <w:pStyle w:val="null3"/>
        <w:ind w:firstLine="480"/>
      </w:pPr>
      <w:r>
        <w:rPr>
          <w:rFonts w:ascii="仿宋_GB2312" w:hAnsi="仿宋_GB2312" w:cs="仿宋_GB2312" w:eastAsia="仿宋_GB2312"/>
          <w:sz w:val="24"/>
          <w:color w:val="000000"/>
        </w:rPr>
        <w:t>1.5.6.</w:t>
      </w:r>
      <w:r>
        <w:rPr>
          <w:rFonts w:ascii="仿宋_GB2312" w:hAnsi="仿宋_GB2312" w:cs="仿宋_GB2312" w:eastAsia="仿宋_GB2312"/>
          <w:sz w:val="24"/>
          <w:color w:val="000000"/>
        </w:rPr>
        <w:t>按照采购人的安排与要求，协助采购人及时做好各类人员的接待工作；发现安全隐患，及时上报。</w:t>
      </w:r>
    </w:p>
    <w:p>
      <w:pPr>
        <w:pStyle w:val="null3"/>
        <w:ind w:firstLine="480"/>
      </w:pPr>
      <w:r>
        <w:rPr>
          <w:rFonts w:ascii="仿宋_GB2312" w:hAnsi="仿宋_GB2312" w:cs="仿宋_GB2312" w:eastAsia="仿宋_GB2312"/>
          <w:sz w:val="24"/>
          <w:color w:val="000000"/>
        </w:rPr>
        <w:t>1.6.</w:t>
      </w:r>
      <w:r>
        <w:rPr>
          <w:rFonts w:ascii="仿宋_GB2312" w:hAnsi="仿宋_GB2312" w:cs="仿宋_GB2312" w:eastAsia="仿宋_GB2312"/>
          <w:sz w:val="24"/>
          <w:color w:val="000000"/>
        </w:rPr>
        <w:t>其它要求：</w:t>
      </w:r>
    </w:p>
    <w:p>
      <w:pPr>
        <w:pStyle w:val="null3"/>
        <w:ind w:firstLine="480"/>
      </w:pPr>
      <w:r>
        <w:rPr>
          <w:rFonts w:ascii="仿宋_GB2312" w:hAnsi="仿宋_GB2312" w:cs="仿宋_GB2312" w:eastAsia="仿宋_GB2312"/>
          <w:sz w:val="24"/>
          <w:color w:val="000000"/>
        </w:rPr>
        <w:t>（1）针对服务对象的特殊性，投标人可以提出其他特色服务的设想及建议；</w:t>
      </w:r>
    </w:p>
    <w:p>
      <w:pPr>
        <w:pStyle w:val="null3"/>
        <w:ind w:firstLine="480"/>
      </w:pPr>
      <w:r>
        <w:rPr>
          <w:rFonts w:ascii="仿宋_GB2312" w:hAnsi="仿宋_GB2312" w:cs="仿宋_GB2312" w:eastAsia="仿宋_GB2312"/>
          <w:sz w:val="24"/>
          <w:color w:val="000000"/>
        </w:rPr>
        <w:t>（2）中标人派驻的员工劳动关系应隶属于投标人自身，且应与派驻人员签订劳动合同，并办理各种用工手续，符合国家相关规定要求，并承担所派驻员工的全部费用；保安人员制服、劳保物品费用等均由中标人承担；</w:t>
      </w:r>
    </w:p>
    <w:p>
      <w:pPr>
        <w:pStyle w:val="null3"/>
        <w:ind w:firstLine="480"/>
      </w:pPr>
      <w:r>
        <w:rPr>
          <w:rFonts w:ascii="仿宋_GB2312" w:hAnsi="仿宋_GB2312" w:cs="仿宋_GB2312" w:eastAsia="仿宋_GB2312"/>
          <w:sz w:val="24"/>
          <w:color w:val="000000"/>
        </w:rPr>
        <w:t>（3）中标人应有岗前培训机构，上岗人员必须100%经过岗前或在岗培训合格才能独立上岗；</w:t>
      </w:r>
    </w:p>
    <w:p>
      <w:pPr>
        <w:pStyle w:val="null3"/>
        <w:ind w:firstLine="480"/>
      </w:pPr>
      <w:r>
        <w:rPr>
          <w:rFonts w:ascii="仿宋_GB2312" w:hAnsi="仿宋_GB2312" w:cs="仿宋_GB2312" w:eastAsia="仿宋_GB2312"/>
          <w:sz w:val="24"/>
          <w:color w:val="000000"/>
        </w:rPr>
        <w:t>（4）服务期限内若采购人有人员增减要求的，按人员综合单价进行调整；</w:t>
      </w:r>
    </w:p>
    <w:p>
      <w:pPr>
        <w:pStyle w:val="null3"/>
        <w:ind w:firstLine="480"/>
      </w:pPr>
      <w:r>
        <w:rPr>
          <w:rFonts w:ascii="仿宋_GB2312" w:hAnsi="仿宋_GB2312" w:cs="仿宋_GB2312" w:eastAsia="仿宋_GB2312"/>
          <w:sz w:val="24"/>
          <w:color w:val="000000"/>
        </w:rPr>
        <w:t>（5）未经采购人同意，中标人不得在合同期限内将本项目的管理权转包或分包；</w:t>
      </w:r>
    </w:p>
    <w:p>
      <w:pPr>
        <w:pStyle w:val="null3"/>
        <w:ind w:firstLine="480"/>
      </w:pPr>
      <w:r>
        <w:rPr>
          <w:rFonts w:ascii="仿宋_GB2312" w:hAnsi="仿宋_GB2312" w:cs="仿宋_GB2312" w:eastAsia="仿宋_GB2312"/>
          <w:sz w:val="24"/>
          <w:color w:val="000000"/>
        </w:rPr>
        <w:t>（6）中标人有责任配合医院接受上级领导部门的监督、检查，提供需求资料。</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投标人须满足的项目要求：</w:t>
      </w:r>
    </w:p>
    <w:p>
      <w:pPr>
        <w:pStyle w:val="null3"/>
        <w:ind w:firstLine="480"/>
      </w:pPr>
      <w:r>
        <w:rPr>
          <w:rFonts w:ascii="仿宋_GB2312" w:hAnsi="仿宋_GB2312" w:cs="仿宋_GB2312" w:eastAsia="仿宋_GB2312"/>
          <w:sz w:val="24"/>
          <w:color w:val="000000"/>
        </w:rPr>
        <w:t>2.1.</w:t>
      </w:r>
      <w:r>
        <w:rPr>
          <w:rFonts w:ascii="仿宋_GB2312" w:hAnsi="仿宋_GB2312" w:cs="仿宋_GB2312" w:eastAsia="仿宋_GB2312"/>
          <w:sz w:val="24"/>
          <w:color w:val="000000"/>
        </w:rPr>
        <w:t>技术要求</w:t>
      </w:r>
    </w:p>
    <w:p>
      <w:pPr>
        <w:pStyle w:val="null3"/>
        <w:ind w:firstLine="480"/>
      </w:pPr>
      <w:r>
        <w:rPr>
          <w:rFonts w:ascii="仿宋_GB2312" w:hAnsi="仿宋_GB2312" w:cs="仿宋_GB2312" w:eastAsia="仿宋_GB2312"/>
          <w:sz w:val="24"/>
          <w:color w:val="000000"/>
        </w:rPr>
        <w:t>（1）满足院区安全服务工作的具体岗位需求。</w:t>
      </w:r>
    </w:p>
    <w:p>
      <w:pPr>
        <w:pStyle w:val="null3"/>
        <w:ind w:firstLine="480"/>
      </w:pPr>
      <w:r>
        <w:rPr>
          <w:rFonts w:ascii="仿宋_GB2312" w:hAnsi="仿宋_GB2312" w:cs="仿宋_GB2312" w:eastAsia="仿宋_GB2312"/>
          <w:sz w:val="24"/>
          <w:color w:val="000000"/>
        </w:rPr>
        <w:t>（2）投标人应提供相关配套的安全管理资料，包括员工手册（中文版）及其他相关制度等。</w:t>
      </w:r>
    </w:p>
    <w:p>
      <w:pPr>
        <w:pStyle w:val="null3"/>
        <w:ind w:firstLine="480"/>
      </w:pPr>
      <w:r>
        <w:rPr>
          <w:rFonts w:ascii="仿宋_GB2312" w:hAnsi="仿宋_GB2312" w:cs="仿宋_GB2312" w:eastAsia="仿宋_GB2312"/>
          <w:sz w:val="24"/>
          <w:color w:val="000000"/>
        </w:rPr>
        <w:t>（3）投标人认为有利于采购人的其他优惠条款应单独列明。</w:t>
      </w:r>
    </w:p>
    <w:p>
      <w:pPr>
        <w:pStyle w:val="null3"/>
        <w:ind w:firstLine="480"/>
      </w:pPr>
      <w:r>
        <w:rPr>
          <w:rFonts w:ascii="仿宋_GB2312" w:hAnsi="仿宋_GB2312" w:cs="仿宋_GB2312" w:eastAsia="仿宋_GB2312"/>
          <w:sz w:val="24"/>
          <w:color w:val="000000"/>
        </w:rPr>
        <w:t>（4）投标人需针对本项目提供具体服务方案，包括不限于以下内容：</w:t>
      </w:r>
    </w:p>
    <w:p>
      <w:pPr>
        <w:pStyle w:val="null3"/>
        <w:ind w:firstLine="480"/>
      </w:pPr>
      <w:r>
        <w:rPr>
          <w:rFonts w:ascii="仿宋_GB2312" w:hAnsi="仿宋_GB2312" w:cs="仿宋_GB2312" w:eastAsia="仿宋_GB2312"/>
          <w:sz w:val="24"/>
          <w:color w:val="000000"/>
        </w:rPr>
        <w:t>①　有详细的针对项目服务特点的方案；</w:t>
      </w:r>
    </w:p>
    <w:p>
      <w:pPr>
        <w:pStyle w:val="null3"/>
        <w:ind w:firstLine="480"/>
      </w:pPr>
      <w:r>
        <w:rPr>
          <w:rFonts w:ascii="仿宋_GB2312" w:hAnsi="仿宋_GB2312" w:cs="仿宋_GB2312" w:eastAsia="仿宋_GB2312"/>
          <w:sz w:val="24"/>
          <w:color w:val="000000"/>
        </w:rPr>
        <w:t>②　有详细的人员过渡计划安排方案；</w:t>
      </w:r>
    </w:p>
    <w:p>
      <w:pPr>
        <w:pStyle w:val="null3"/>
        <w:ind w:firstLine="480"/>
      </w:pPr>
      <w:r>
        <w:rPr>
          <w:rFonts w:ascii="仿宋_GB2312" w:hAnsi="仿宋_GB2312" w:cs="仿宋_GB2312" w:eastAsia="仿宋_GB2312"/>
          <w:sz w:val="24"/>
          <w:color w:val="000000"/>
        </w:rPr>
        <w:t>③　有详细的排班轮岗方案；</w:t>
      </w:r>
    </w:p>
    <w:p>
      <w:pPr>
        <w:pStyle w:val="null3"/>
        <w:ind w:firstLine="480"/>
      </w:pPr>
      <w:r>
        <w:rPr>
          <w:rFonts w:ascii="仿宋_GB2312" w:hAnsi="仿宋_GB2312" w:cs="仿宋_GB2312" w:eastAsia="仿宋_GB2312"/>
          <w:sz w:val="24"/>
          <w:color w:val="000000"/>
        </w:rPr>
        <w:t>④　有详细的安保管理的流程、工作细则、质量标准；</w:t>
      </w:r>
    </w:p>
    <w:p>
      <w:pPr>
        <w:pStyle w:val="null3"/>
        <w:ind w:firstLine="480"/>
      </w:pPr>
      <w:r>
        <w:rPr>
          <w:rFonts w:ascii="仿宋_GB2312" w:hAnsi="仿宋_GB2312" w:cs="仿宋_GB2312" w:eastAsia="仿宋_GB2312"/>
          <w:sz w:val="24"/>
          <w:color w:val="000000"/>
        </w:rPr>
        <w:t>⑤　有详细的突发应急方案；（提供的针对自然灾害、火情、人员聚集突发应急方案、提供的针对突发疫情、提供的针对医闹、打架、斗殴应急预案、防暴防恐突发应急方案、提供的迎接上级检查评估、重大活动、会议的保障措施方案。）</w:t>
      </w:r>
    </w:p>
    <w:p>
      <w:pPr>
        <w:pStyle w:val="null3"/>
        <w:ind w:firstLine="480"/>
      </w:pPr>
      <w:r>
        <w:rPr>
          <w:rFonts w:ascii="仿宋_GB2312" w:hAnsi="仿宋_GB2312" w:cs="仿宋_GB2312" w:eastAsia="仿宋_GB2312"/>
          <w:sz w:val="24"/>
          <w:color w:val="000000"/>
        </w:rPr>
        <w:t>⑥　有详细的日常巡逻方案；</w:t>
      </w:r>
    </w:p>
    <w:p>
      <w:pPr>
        <w:pStyle w:val="null3"/>
        <w:ind w:firstLine="480"/>
      </w:pPr>
      <w:r>
        <w:rPr>
          <w:rFonts w:ascii="仿宋_GB2312" w:hAnsi="仿宋_GB2312" w:cs="仿宋_GB2312" w:eastAsia="仿宋_GB2312"/>
          <w:sz w:val="24"/>
          <w:color w:val="000000"/>
        </w:rPr>
        <w:t>⑦　有详细的人员的培训方案；</w:t>
      </w:r>
    </w:p>
    <w:p>
      <w:pPr>
        <w:pStyle w:val="null3"/>
        <w:ind w:firstLine="480"/>
      </w:pPr>
      <w:r>
        <w:rPr>
          <w:rFonts w:ascii="仿宋_GB2312" w:hAnsi="仿宋_GB2312" w:cs="仿宋_GB2312" w:eastAsia="仿宋_GB2312"/>
          <w:sz w:val="24"/>
          <w:color w:val="000000"/>
        </w:rPr>
        <w:t>⑧　有详细的岗位人员配置方案；</w:t>
      </w:r>
    </w:p>
    <w:p>
      <w:pPr>
        <w:pStyle w:val="null3"/>
        <w:ind w:firstLine="480"/>
      </w:pPr>
      <w:r>
        <w:rPr>
          <w:rFonts w:ascii="仿宋_GB2312" w:hAnsi="仿宋_GB2312" w:cs="仿宋_GB2312" w:eastAsia="仿宋_GB2312"/>
          <w:sz w:val="24"/>
          <w:color w:val="000000"/>
        </w:rPr>
        <w:t>⑨　有详细的安保人员管理制度方案；（包含①用工制度、②考勤制度、③奖惩制度、④保密制度、⑤绩效管理制度。）</w:t>
      </w:r>
    </w:p>
    <w:p>
      <w:pPr>
        <w:pStyle w:val="null3"/>
        <w:ind w:firstLine="480"/>
      </w:pPr>
      <w:r>
        <w:rPr>
          <w:rFonts w:ascii="仿宋_GB2312" w:hAnsi="仿宋_GB2312" w:cs="仿宋_GB2312" w:eastAsia="仿宋_GB2312"/>
          <w:sz w:val="24"/>
          <w:color w:val="000000"/>
        </w:rPr>
        <w:t>⑩　有详细的档案管理制度；</w:t>
      </w:r>
    </w:p>
    <w:p>
      <w:pPr>
        <w:pStyle w:val="null3"/>
        <w:ind w:firstLine="480"/>
      </w:pPr>
      <w:r>
        <w:rPr>
          <w:rFonts w:ascii="仿宋_GB2312" w:hAnsi="仿宋_GB2312" w:cs="仿宋_GB2312" w:eastAsia="仿宋_GB2312"/>
          <w:sz w:val="24"/>
          <w:color w:val="000000"/>
        </w:rPr>
        <w:t>⑪　投标人承诺为所有保安服务人员提供统一服装的承诺说明；</w:t>
      </w:r>
    </w:p>
    <w:p>
      <w:pPr>
        <w:pStyle w:val="null3"/>
        <w:ind w:firstLine="480"/>
      </w:pPr>
      <w:r>
        <w:rPr>
          <w:rFonts w:ascii="仿宋_GB2312" w:hAnsi="仿宋_GB2312" w:cs="仿宋_GB2312" w:eastAsia="仿宋_GB2312"/>
          <w:sz w:val="24"/>
          <w:color w:val="000000"/>
        </w:rPr>
        <w:t>⑫　投标人需为本项目配备的保安用品和警戒装备，并具有一定的价值。</w:t>
      </w:r>
    </w:p>
    <w:p>
      <w:pPr>
        <w:pStyle w:val="null3"/>
        <w:ind w:firstLine="480"/>
      </w:pPr>
      <w:r>
        <w:rPr>
          <w:rFonts w:ascii="仿宋_GB2312" w:hAnsi="仿宋_GB2312" w:cs="仿宋_GB2312" w:eastAsia="仿宋_GB2312"/>
          <w:sz w:val="24"/>
          <w:color w:val="000000"/>
        </w:rPr>
        <w:t>（5）人员要求：</w:t>
      </w:r>
    </w:p>
    <w:p>
      <w:pPr>
        <w:pStyle w:val="null3"/>
        <w:ind w:firstLine="480"/>
      </w:pPr>
      <w:r>
        <w:rPr>
          <w:rFonts w:ascii="仿宋_GB2312" w:hAnsi="仿宋_GB2312" w:cs="仿宋_GB2312" w:eastAsia="仿宋_GB2312"/>
          <w:sz w:val="24"/>
          <w:color w:val="000000"/>
        </w:rPr>
        <w:t>①　拟投入本项目的项目经理要求：</w:t>
      </w:r>
      <w:r>
        <w:rPr>
          <w:rFonts w:ascii="仿宋_GB2312" w:hAnsi="仿宋_GB2312" w:cs="仿宋_GB2312" w:eastAsia="仿宋_GB2312"/>
          <w:sz w:val="20"/>
          <w:color w:val="000000"/>
        </w:rPr>
        <w:t>1979年9月（含9月）之后出生，大</w:t>
      </w:r>
      <w:r>
        <w:rPr>
          <w:rFonts w:ascii="仿宋_GB2312" w:hAnsi="仿宋_GB2312" w:cs="仿宋_GB2312" w:eastAsia="仿宋_GB2312"/>
          <w:sz w:val="24"/>
          <w:color w:val="000000"/>
        </w:rPr>
        <w:t>专及以上学历，具备相关行业1年及以上管理经验。</w:t>
      </w:r>
    </w:p>
    <w:p>
      <w:pPr>
        <w:pStyle w:val="null3"/>
        <w:ind w:firstLine="480"/>
      </w:pPr>
      <w:r>
        <w:rPr>
          <w:rFonts w:ascii="仿宋_GB2312" w:hAnsi="仿宋_GB2312" w:cs="仿宋_GB2312" w:eastAsia="仿宋_GB2312"/>
          <w:sz w:val="24"/>
          <w:color w:val="000000"/>
        </w:rPr>
        <w:t>②　投标人拟投入的保安队长要求：</w:t>
      </w:r>
      <w:r>
        <w:rPr>
          <w:rFonts w:ascii="仿宋_GB2312" w:hAnsi="仿宋_GB2312" w:cs="仿宋_GB2312" w:eastAsia="仿宋_GB2312"/>
          <w:sz w:val="20"/>
          <w:color w:val="000000"/>
        </w:rPr>
        <w:t>1979年9月（含9月）之后出生</w:t>
      </w:r>
      <w:r>
        <w:rPr>
          <w:rFonts w:ascii="仿宋_GB2312" w:hAnsi="仿宋_GB2312" w:cs="仿宋_GB2312" w:eastAsia="仿宋_GB2312"/>
          <w:sz w:val="24"/>
          <w:color w:val="000000"/>
        </w:rPr>
        <w:t>，大专及以上学历，具备相关行业经验。</w:t>
      </w:r>
    </w:p>
    <w:p>
      <w:pPr>
        <w:pStyle w:val="null3"/>
        <w:ind w:firstLine="480"/>
      </w:pPr>
      <w:r>
        <w:rPr>
          <w:rFonts w:ascii="仿宋_GB2312" w:hAnsi="仿宋_GB2312" w:cs="仿宋_GB2312" w:eastAsia="仿宋_GB2312"/>
          <w:sz w:val="24"/>
          <w:color w:val="000000"/>
        </w:rPr>
        <w:t>③　投标人拟投入的人员中至少5人具有下列证书（三种任意一种即可）：（1）公安机关颁发的安检保安员培训证书。（2）人社部门备案的鉴定机构/企业或民航局职业技能指导中心颁发的安检员证书。（3）人社部门备案的鉴定机构/企业颁发的保安员国家职业技能等级四级/中级工或以上证书。（提供相关证书复印件）。</w:t>
      </w:r>
    </w:p>
    <w:p>
      <w:pPr>
        <w:pStyle w:val="null3"/>
        <w:ind w:firstLine="480"/>
      </w:pPr>
      <w:r>
        <w:rPr>
          <w:rFonts w:ascii="仿宋_GB2312" w:hAnsi="仿宋_GB2312" w:cs="仿宋_GB2312" w:eastAsia="仿宋_GB2312"/>
          <w:sz w:val="24"/>
          <w:color w:val="000000"/>
        </w:rPr>
        <w:t>④　投标人拟投入的人员中至少10人具有红十字会颁发的急救员证或救护员证（提供相关证书复印件）。</w:t>
      </w:r>
    </w:p>
    <w:p>
      <w:pPr>
        <w:pStyle w:val="null3"/>
        <w:ind w:firstLine="480"/>
      </w:pPr>
      <w:r>
        <w:rPr>
          <w:rFonts w:ascii="仿宋_GB2312" w:hAnsi="仿宋_GB2312" w:cs="仿宋_GB2312" w:eastAsia="仿宋_GB2312"/>
          <w:sz w:val="24"/>
          <w:color w:val="000000"/>
        </w:rPr>
        <w:t>⑤　投标人拟投入的人员中至少10人具有职业技能鉴定指导中心颁发的建（构）筑消防员证或消防设施操作员证（提供相关证书复印件及技能人才评价证书全国联网查询（http://zscx.osta.org.cn）截图、提供投标人为其缴纳的社保缴交证明，社保证明需提供投标截止前6个月内的任意一个月（不含投标截止当月）投标人为其缴纳的社保证明材料）。</w:t>
      </w:r>
    </w:p>
    <w:p>
      <w:pPr>
        <w:pStyle w:val="null3"/>
        <w:ind w:firstLine="480"/>
      </w:pPr>
      <w:r>
        <w:rPr>
          <w:rFonts w:ascii="仿宋_GB2312" w:hAnsi="仿宋_GB2312" w:cs="仿宋_GB2312" w:eastAsia="仿宋_GB2312"/>
          <w:sz w:val="24"/>
          <w:b/>
          <w:color w:val="000000"/>
        </w:rPr>
        <w:t>★⑥投标人拟投入的直接从事保安服务的人员（35人）年龄原则上</w:t>
      </w:r>
      <w:r>
        <w:rPr>
          <w:rFonts w:ascii="仿宋_GB2312" w:hAnsi="仿宋_GB2312" w:cs="仿宋_GB2312" w:eastAsia="仿宋_GB2312"/>
          <w:sz w:val="24"/>
          <w:b/>
          <w:color w:val="000000"/>
        </w:rPr>
        <w:t>2007</w:t>
      </w:r>
      <w:r>
        <w:rPr>
          <w:rFonts w:ascii="仿宋_GB2312" w:hAnsi="仿宋_GB2312" w:cs="仿宋_GB2312" w:eastAsia="仿宋_GB2312"/>
          <w:sz w:val="24"/>
          <w:b/>
          <w:color w:val="000000"/>
        </w:rPr>
        <w:t>年9月（不含9月）至1974年9月（含9月）出生</w:t>
      </w:r>
      <w:r>
        <w:rPr>
          <w:rFonts w:ascii="仿宋_GB2312" w:hAnsi="仿宋_GB2312" w:cs="仿宋_GB2312" w:eastAsia="仿宋_GB2312"/>
          <w:sz w:val="24"/>
          <w:b/>
          <w:color w:val="000000"/>
        </w:rPr>
        <w:t>，应都具有公安机关颁发的保安员证，且退伍军人数量为11人及以上。合同签订后，实际到岗人员应和人员清单一致，否则采购人有权要求解除合同。投标人须</w:t>
      </w:r>
      <w:r>
        <w:rPr>
          <w:rFonts w:ascii="仿宋_GB2312" w:hAnsi="仿宋_GB2312" w:cs="仿宋_GB2312" w:eastAsia="仿宋_GB2312"/>
          <w:sz w:val="24"/>
          <w:b/>
          <w:color w:val="000000"/>
        </w:rPr>
        <w:t>在投标文件中</w:t>
      </w:r>
      <w:r>
        <w:rPr>
          <w:rFonts w:ascii="仿宋_GB2312" w:hAnsi="仿宋_GB2312" w:cs="仿宋_GB2312" w:eastAsia="仿宋_GB2312"/>
          <w:sz w:val="24"/>
          <w:b/>
          <w:color w:val="000000"/>
        </w:rPr>
        <w:t>提供相关证书复印件（其中退伍军人提供部队颁发的退伍/退役证）及人员清单。</w:t>
      </w:r>
    </w:p>
    <w:p>
      <w:pPr>
        <w:pStyle w:val="null3"/>
        <w:ind w:firstLine="480"/>
      </w:pPr>
      <w:r>
        <w:rPr>
          <w:rFonts w:ascii="仿宋_GB2312" w:hAnsi="仿宋_GB2312" w:cs="仿宋_GB2312" w:eastAsia="仿宋_GB2312"/>
          <w:sz w:val="24"/>
          <w:color w:val="000000"/>
        </w:rPr>
        <w:t>以上人员均可重复。</w:t>
      </w:r>
    </w:p>
    <w:p>
      <w:pPr>
        <w:pStyle w:val="null3"/>
        <w:ind w:firstLine="480"/>
      </w:pPr>
      <w:r>
        <w:rPr>
          <w:rFonts w:ascii="仿宋_GB2312" w:hAnsi="仿宋_GB2312" w:cs="仿宋_GB2312" w:eastAsia="仿宋_GB2312"/>
          <w:sz w:val="24"/>
          <w:color w:val="000000"/>
        </w:rPr>
        <w:t>（6）投标人承诺所有保安岗位将按照采购人的岗位表落实保安值班工作并做出书面承诺说明。</w:t>
      </w:r>
    </w:p>
    <w:p>
      <w:pPr>
        <w:pStyle w:val="null3"/>
        <w:ind w:firstLine="480"/>
      </w:pPr>
      <w:r>
        <w:rPr>
          <w:rFonts w:ascii="仿宋_GB2312" w:hAnsi="仿宋_GB2312" w:cs="仿宋_GB2312" w:eastAsia="仿宋_GB2312"/>
          <w:sz w:val="24"/>
          <w:color w:val="000000"/>
        </w:rPr>
        <w:t>（7）中标人应保障服务的质量和水平，投标时提供的人员中自2022年1月1日以来具有由公安机关颁发的优秀或先进个人。投标人须提供获奖证书复印件或相关证明材料。</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shd w:fill="FFFFFF" w:val="clear"/>
        </w:rPr>
        <w:t>踏勘内容及要求</w:t>
      </w:r>
    </w:p>
    <w:p>
      <w:pPr>
        <w:pStyle w:val="null3"/>
        <w:ind w:firstLine="480"/>
      </w:pPr>
      <w:r>
        <w:rPr>
          <w:rFonts w:ascii="仿宋_GB2312" w:hAnsi="仿宋_GB2312" w:cs="仿宋_GB2312" w:eastAsia="仿宋_GB2312"/>
          <w:sz w:val="24"/>
          <w:color w:val="000000"/>
          <w:shd w:fill="FFFFFF" w:val="clear"/>
        </w:rPr>
        <w:t xml:space="preserve">3.1 </w:t>
      </w:r>
      <w:r>
        <w:rPr>
          <w:rFonts w:ascii="仿宋_GB2312" w:hAnsi="仿宋_GB2312" w:cs="仿宋_GB2312" w:eastAsia="仿宋_GB2312"/>
          <w:sz w:val="24"/>
          <w:color w:val="000000"/>
          <w:shd w:fill="FFFFFF" w:val="clear"/>
        </w:rPr>
        <w:t>本项目组织统一现场踏勘，投标人需在规定时间前往对项目现场及周围环境进行踏勘，以便获取有关编制投标文件和签署合同所涉及现场的资料。踏勘现场所发生的费用由投标人自己承担。</w:t>
      </w:r>
    </w:p>
    <w:p>
      <w:pPr>
        <w:pStyle w:val="null3"/>
        <w:ind w:firstLine="480"/>
      </w:pPr>
      <w:r>
        <w:rPr>
          <w:rFonts w:ascii="仿宋_GB2312" w:hAnsi="仿宋_GB2312" w:cs="仿宋_GB2312" w:eastAsia="仿宋_GB2312"/>
          <w:sz w:val="24"/>
          <w:color w:val="000000"/>
          <w:shd w:fill="FFFFFF" w:val="clear"/>
        </w:rPr>
        <w:t xml:space="preserve">3.2 </w:t>
      </w:r>
      <w:r>
        <w:rPr>
          <w:rFonts w:ascii="仿宋_GB2312" w:hAnsi="仿宋_GB2312" w:cs="仿宋_GB2312" w:eastAsia="仿宋_GB2312"/>
          <w:sz w:val="24"/>
          <w:color w:val="000000"/>
          <w:shd w:fill="FFFFFF" w:val="clear"/>
        </w:rPr>
        <w:t>统一踏勘时间：获取招标文件截止时间结束后的次日工作日9:00</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shd w:fill="FFFFFF" w:val="clear"/>
        </w:rPr>
        <w:t>3.3</w:t>
      </w:r>
      <w:r>
        <w:rPr>
          <w:rFonts w:ascii="仿宋_GB2312" w:hAnsi="仿宋_GB2312" w:cs="仿宋_GB2312" w:eastAsia="仿宋_GB2312"/>
          <w:sz w:val="24"/>
          <w:color w:val="000000"/>
          <w:shd w:fill="FFFFFF" w:val="clear"/>
        </w:rPr>
        <w:t>踏勘地点：</w:t>
      </w:r>
      <w:r>
        <w:rPr>
          <w:rFonts w:ascii="仿宋_GB2312" w:hAnsi="仿宋_GB2312" w:cs="仿宋_GB2312" w:eastAsia="仿宋_GB2312"/>
          <w:sz w:val="24"/>
          <w:color w:val="000000"/>
        </w:rPr>
        <w:t>福建省厦门市湖里区金湖路668号</w:t>
      </w:r>
      <w:r>
        <w:rPr>
          <w:rFonts w:ascii="仿宋_GB2312" w:hAnsi="仿宋_GB2312" w:cs="仿宋_GB2312" w:eastAsia="仿宋_GB2312"/>
          <w:sz w:val="24"/>
          <w:color w:val="000000"/>
          <w:shd w:fill="FFFFFF" w:val="clear"/>
        </w:rPr>
        <w:t>。</w:t>
      </w:r>
    </w:p>
    <w:p>
      <w:pPr>
        <w:pStyle w:val="null3"/>
        <w:ind w:firstLine="480"/>
      </w:pPr>
      <w:r>
        <w:rPr>
          <w:rFonts w:ascii="仿宋_GB2312" w:hAnsi="仿宋_GB2312" w:cs="仿宋_GB2312" w:eastAsia="仿宋_GB2312"/>
          <w:sz w:val="24"/>
          <w:color w:val="000000"/>
          <w:shd w:fill="FFFFFF" w:val="clear"/>
        </w:rPr>
        <w:t>3.4</w:t>
      </w:r>
      <w:r>
        <w:rPr>
          <w:rFonts w:ascii="仿宋_GB2312" w:hAnsi="仿宋_GB2312" w:cs="仿宋_GB2312" w:eastAsia="仿宋_GB2312"/>
          <w:sz w:val="24"/>
          <w:color w:val="000000"/>
          <w:shd w:fill="FFFFFF" w:val="clear"/>
        </w:rPr>
        <w:t>现场踏勘联系人：0592-3569021 陈老师/高老师。</w:t>
      </w:r>
    </w:p>
    <w:p>
      <w:pPr>
        <w:pStyle w:val="null3"/>
        <w:ind w:firstLine="480"/>
      </w:pPr>
      <w:r>
        <w:rPr>
          <w:rFonts w:ascii="仿宋_GB2312" w:hAnsi="仿宋_GB2312" w:cs="仿宋_GB2312" w:eastAsia="仿宋_GB2312"/>
          <w:sz w:val="24"/>
          <w:color w:val="000000"/>
          <w:shd w:fill="FFFFFF" w:val="clear"/>
        </w:rPr>
        <w:t xml:space="preserve">3.5 </w:t>
      </w:r>
      <w:r>
        <w:rPr>
          <w:rFonts w:ascii="仿宋_GB2312" w:hAnsi="仿宋_GB2312" w:cs="仿宋_GB2312" w:eastAsia="仿宋_GB2312"/>
          <w:sz w:val="24"/>
          <w:color w:val="000000"/>
          <w:shd w:fill="FFFFFF" w:val="clear"/>
        </w:rPr>
        <w:t>投标人及其人员经过采购人的允许，可以踏勘为目的进入采购人的项目现场，但投标人及其人员不得因此使采购人及其人员承担有关的责任和蒙受损失。投标人并应对由此次踏勘现场而造成的人员死亡、人身伤害、财产损失、损害以及任何其它损失、损害和引起的费用和开支承担责任。</w:t>
      </w:r>
    </w:p>
    <w:p>
      <w:pPr>
        <w:pStyle w:val="null3"/>
      </w:pPr>
      <w:r>
        <w:rPr>
          <w:rFonts w:ascii="仿宋_GB2312" w:hAnsi="仿宋_GB2312" w:cs="仿宋_GB2312" w:eastAsia="仿宋_GB2312"/>
          <w:sz w:val="24"/>
          <w:color w:val="000000"/>
          <w:shd w:fill="FFFFFF" w:val="clear"/>
        </w:rPr>
        <w:t xml:space="preserve">3.6 </w:t>
      </w:r>
      <w:r>
        <w:rPr>
          <w:rFonts w:ascii="仿宋_GB2312" w:hAnsi="仿宋_GB2312" w:cs="仿宋_GB2312" w:eastAsia="仿宋_GB2312"/>
          <w:sz w:val="24"/>
          <w:color w:val="000000"/>
          <w:shd w:fill="FFFFFF" w:val="clear"/>
        </w:rPr>
        <w:t>采购人向投标人提供的有关现场的资料和数据，是采购人现有的能被投标人利用的资料。采购人对投标人做出的理解、推论和结论均不负责任。</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服务期限：3年，合同一年一签；合同签订后10天内，中标人须按照采购人要求将保安人员安排到位到岗。</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福建省厦门市湖里区金湖路668号</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合同签订后10天内，中标人须按照采购人要求将保安人员安排到位到岗。</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1、期次1，说明：按招标文件、中标人的投标文件及合同条款约定。</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1、本表由于系统限制编辑，以其他商务要求中的“合同支付方式”描述为准，达到付款条件起7日内，支付合同总金额的100.00%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、合同支付方式</w:t>
      </w:r>
      <w:r>
        <w:rPr>
          <w:rFonts w:ascii="仿宋_GB2312" w:hAnsi="仿宋_GB2312" w:cs="仿宋_GB2312" w:eastAsia="仿宋_GB2312"/>
          <w:sz w:val="20"/>
          <w:color w:val="000000"/>
        </w:rPr>
        <w:t>，具体如下：</w:t>
      </w:r>
    </w:p>
    <w:tbl>
      <w:tblPr>
        <w:tblW w:w="0" w:type="auto"/>
        <w:tblBorders>
          <w:top w:val="single"/>
          <w:left w:val="single"/>
          <w:bottom w:val="single"/>
          <w:right w:val="single"/>
          <w:insideH w:val="single"/>
          <w:insideV w:val="single"/>
        </w:tblBorders>
      </w:tblPr>
      <w:tblGrid>
        <w:gridCol w:w="0"/>
        <w:gridCol w:w="84"/>
        <w:gridCol w:w="336"/>
        <w:gridCol w:w="671"/>
        <w:gridCol w:w="7215"/>
      </w:tblGrid>
      <w:tr>
        <w:tc>
          <w:tcPr>
            <w:tcW w:type="dxa" w:w="420"/>
            <w:gridSpan w:val="3"/>
            <w:tcMar>
              <w:top w:type="dxa" w:w="0"/>
              <w:left w:type="dxa" w:w="0"/>
              <w:bottom w:type="dxa" w:w="0"/>
              <w:right w:type="dxa" w:w="0"/>
            </w:tcMar>
          </w:tcPr>
          <w:p>
            <w:pPr>
              <w:pStyle w:val="null3"/>
              <w:jc w:val="center"/>
            </w:pPr>
            <w:r>
              <w:rPr>
                <w:rFonts w:ascii="仿宋_GB2312" w:hAnsi="仿宋_GB2312" w:cs="仿宋_GB2312" w:eastAsia="仿宋_GB2312"/>
                <w:sz w:val="24"/>
                <w:color w:val="000000"/>
              </w:rPr>
              <w:t>支付</w:t>
            </w:r>
          </w:p>
          <w:p>
            <w:pPr>
              <w:pStyle w:val="null3"/>
              <w:jc w:val="center"/>
            </w:pPr>
            <w:r>
              <w:rPr>
                <w:rFonts w:ascii="仿宋_GB2312" w:hAnsi="仿宋_GB2312" w:cs="仿宋_GB2312" w:eastAsia="仿宋_GB2312"/>
                <w:sz w:val="24"/>
                <w:color w:val="000000"/>
              </w:rPr>
              <w:t>期次</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color w:val="000000"/>
              </w:rPr>
              <w:t>支付比例（%）</w:t>
            </w:r>
          </w:p>
        </w:tc>
        <w:tc>
          <w:tcPr>
            <w:tcW w:type="dxa" w:w="7215"/>
            <w:tcMar>
              <w:top w:type="dxa" w:w="0"/>
              <w:left w:type="dxa" w:w="0"/>
              <w:bottom w:type="dxa" w:w="0"/>
              <w:right w:type="dxa" w:w="0"/>
            </w:tcMar>
          </w:tcPr>
          <w:p>
            <w:pPr>
              <w:pStyle w:val="null3"/>
              <w:jc w:val="center"/>
            </w:pPr>
            <w:r>
              <w:rPr>
                <w:rFonts w:ascii="仿宋_GB2312" w:hAnsi="仿宋_GB2312" w:cs="仿宋_GB2312" w:eastAsia="仿宋_GB2312"/>
                <w:sz w:val="24"/>
                <w:color w:val="000000"/>
              </w:rPr>
              <w:t>支付期次说明</w:t>
            </w:r>
          </w:p>
        </w:tc>
      </w:tr>
      <w:tr>
        <w:tc>
          <w:tcPr>
            <w:tcW w:type="dxa" w:w="420"/>
            <w:gridSpan w:val="3"/>
            <w:tcMar>
              <w:top w:type="dxa" w:w="0"/>
              <w:left w:type="dxa" w:w="0"/>
              <w:bottom w:type="dxa" w:w="0"/>
              <w:right w:type="dxa" w:w="0"/>
            </w:tcMar>
          </w:tcPr>
          <w:p>
            <w:pPr>
              <w:pStyle w:val="null3"/>
              <w:jc w:val="center"/>
            </w:pPr>
            <w:r>
              <w:rPr>
                <w:rFonts w:ascii="仿宋_GB2312" w:hAnsi="仿宋_GB2312" w:cs="仿宋_GB2312" w:eastAsia="仿宋_GB2312"/>
                <w:sz w:val="24"/>
                <w:color w:val="000000"/>
              </w:rPr>
              <w:t>1</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420"/>
            <w:gridSpan w:val="3"/>
            <w:tcMar>
              <w:top w:type="dxa" w:w="0"/>
              <w:left w:type="dxa" w:w="0"/>
              <w:bottom w:type="dxa" w:w="0"/>
              <w:right w:type="dxa" w:w="0"/>
            </w:tcMar>
          </w:tcPr>
          <w:p>
            <w:pPr>
              <w:pStyle w:val="null3"/>
              <w:jc w:val="center"/>
            </w:pPr>
            <w:r>
              <w:rPr>
                <w:rFonts w:ascii="仿宋_GB2312" w:hAnsi="仿宋_GB2312" w:cs="仿宋_GB2312" w:eastAsia="仿宋_GB2312"/>
                <w:sz w:val="24"/>
                <w:color w:val="000000"/>
              </w:rPr>
              <w:t>2</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420"/>
            <w:gridSpan w:val="3"/>
            <w:tcMar>
              <w:top w:type="dxa" w:w="0"/>
              <w:left w:type="dxa" w:w="0"/>
              <w:bottom w:type="dxa" w:w="0"/>
              <w:right w:type="dxa" w:w="0"/>
            </w:tcMar>
          </w:tcPr>
          <w:p>
            <w:pPr>
              <w:pStyle w:val="null3"/>
              <w:jc w:val="center"/>
            </w:pPr>
            <w:r>
              <w:rPr>
                <w:rFonts w:ascii="仿宋_GB2312" w:hAnsi="仿宋_GB2312" w:cs="仿宋_GB2312" w:eastAsia="仿宋_GB2312"/>
                <w:sz w:val="24"/>
                <w:color w:val="000000"/>
              </w:rPr>
              <w:t>3</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4</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5</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6</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7</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8</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9</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10</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11</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12</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13</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14</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15</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16</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17</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18</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20"/>
            <w:gridSpan w:val="2"/>
            <w:tcMar>
              <w:top w:type="dxa" w:w="0"/>
              <w:left w:type="dxa" w:w="0"/>
              <w:bottom w:type="dxa" w:w="0"/>
              <w:right w:type="dxa" w:w="0"/>
            </w:tcMar>
          </w:tcPr>
          <w:p>
            <w:pPr>
              <w:pStyle w:val="null3"/>
              <w:jc w:val="center"/>
            </w:pPr>
            <w:r>
              <w:rPr>
                <w:rFonts w:ascii="仿宋_GB2312" w:hAnsi="仿宋_GB2312" w:cs="仿宋_GB2312" w:eastAsia="仿宋_GB2312"/>
                <w:sz w:val="24"/>
                <w:color w:val="000000"/>
              </w:rPr>
              <w:t>19</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20"/>
            <w:gridSpan w:val="2"/>
            <w:tcMar>
              <w:top w:type="dxa" w:w="0"/>
              <w:left w:type="dxa" w:w="0"/>
              <w:bottom w:type="dxa" w:w="0"/>
              <w:right w:type="dxa" w:w="0"/>
            </w:tcMar>
          </w:tcPr>
          <w:p>
            <w:pPr>
              <w:pStyle w:val="null3"/>
              <w:jc w:val="center"/>
            </w:pPr>
            <w:r>
              <w:rPr>
                <w:rFonts w:ascii="仿宋_GB2312" w:hAnsi="仿宋_GB2312" w:cs="仿宋_GB2312" w:eastAsia="仿宋_GB2312"/>
                <w:sz w:val="24"/>
                <w:color w:val="000000"/>
              </w:rPr>
              <w:t>20</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20"/>
            <w:gridSpan w:val="2"/>
            <w:tcMar>
              <w:top w:type="dxa" w:w="0"/>
              <w:left w:type="dxa" w:w="0"/>
              <w:bottom w:type="dxa" w:w="0"/>
              <w:right w:type="dxa" w:w="0"/>
            </w:tcMar>
          </w:tcPr>
          <w:p>
            <w:pPr>
              <w:pStyle w:val="null3"/>
              <w:jc w:val="center"/>
            </w:pPr>
            <w:r>
              <w:rPr>
                <w:rFonts w:ascii="仿宋_GB2312" w:hAnsi="仿宋_GB2312" w:cs="仿宋_GB2312" w:eastAsia="仿宋_GB2312"/>
                <w:sz w:val="24"/>
                <w:color w:val="000000"/>
              </w:rPr>
              <w:t>21</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20"/>
            <w:gridSpan w:val="2"/>
            <w:tcMar>
              <w:top w:type="dxa" w:w="0"/>
              <w:left w:type="dxa" w:w="0"/>
              <w:bottom w:type="dxa" w:w="0"/>
              <w:right w:type="dxa" w:w="0"/>
            </w:tcMar>
          </w:tcPr>
          <w:p>
            <w:pPr>
              <w:pStyle w:val="null3"/>
              <w:jc w:val="center"/>
            </w:pPr>
            <w:r>
              <w:rPr>
                <w:rFonts w:ascii="仿宋_GB2312" w:hAnsi="仿宋_GB2312" w:cs="仿宋_GB2312" w:eastAsia="仿宋_GB2312"/>
                <w:sz w:val="24"/>
                <w:color w:val="000000"/>
              </w:rPr>
              <w:t>22</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23</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24</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25</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26</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27</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28</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29</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30</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31</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84"/>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336"/>
            <w:tcMar>
              <w:top w:type="dxa" w:w="0"/>
              <w:left w:type="dxa" w:w="0"/>
              <w:bottom w:type="dxa" w:w="0"/>
              <w:right w:type="dxa" w:w="0"/>
            </w:tcMar>
          </w:tcPr>
          <w:p>
            <w:pPr>
              <w:pStyle w:val="null3"/>
              <w:jc w:val="center"/>
            </w:pPr>
            <w:r>
              <w:rPr>
                <w:rFonts w:ascii="仿宋_GB2312" w:hAnsi="仿宋_GB2312" w:cs="仿宋_GB2312" w:eastAsia="仿宋_GB2312"/>
                <w:sz w:val="24"/>
                <w:color w:val="000000"/>
              </w:rPr>
              <w:t>32</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0"/>
            <w:tcBorders>
              <w:top w:val="none" w:color="000000" w:sz="4"/>
              <w:left w:val="none" w:color="000000" w:sz="4"/>
              <w:bottom w:val="outset" w:color="000000" w:sz="4"/>
              <w:right w:val="none" w:color="000000" w:sz="4"/>
            </w:tcBorders>
          </w:tcPr>
          <w:p>
            <w:pPr>
              <w:pStyle w:val="null3"/>
              <w:jc w:val="both"/>
            </w:pPr>
            <w:r>
              <w:rPr>
                <w:rFonts w:ascii="仿宋_GB2312" w:hAnsi="仿宋_GB2312" w:cs="仿宋_GB2312" w:eastAsia="仿宋_GB2312"/>
                <w:sz w:val="21"/>
              </w:rPr>
              <w:t xml:space="preserve"> </w:t>
            </w:r>
          </w:p>
        </w:tc>
        <w:tc>
          <w:tcPr>
            <w:tcW w:type="dxa" w:w="420"/>
            <w:gridSpan w:val="2"/>
            <w:tcMar>
              <w:top w:type="dxa" w:w="0"/>
              <w:left w:type="dxa" w:w="0"/>
              <w:bottom w:type="dxa" w:w="0"/>
              <w:right w:type="dxa" w:w="0"/>
            </w:tcMar>
          </w:tcPr>
          <w:p>
            <w:pPr>
              <w:pStyle w:val="null3"/>
              <w:jc w:val="center"/>
            </w:pPr>
            <w:r>
              <w:rPr>
                <w:rFonts w:ascii="仿宋_GB2312" w:hAnsi="仿宋_GB2312" w:cs="仿宋_GB2312" w:eastAsia="仿宋_GB2312"/>
                <w:sz w:val="24"/>
                <w:color w:val="000000"/>
              </w:rPr>
              <w:t>33</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420"/>
            <w:gridSpan w:val="3"/>
            <w:tcMar>
              <w:top w:type="dxa" w:w="0"/>
              <w:left w:type="dxa" w:w="0"/>
              <w:bottom w:type="dxa" w:w="0"/>
              <w:right w:type="dxa" w:w="0"/>
            </w:tcMar>
          </w:tcPr>
          <w:p>
            <w:pPr>
              <w:pStyle w:val="null3"/>
              <w:jc w:val="center"/>
            </w:pPr>
            <w:r>
              <w:rPr>
                <w:rFonts w:ascii="仿宋_GB2312" w:hAnsi="仿宋_GB2312" w:cs="仿宋_GB2312" w:eastAsia="仿宋_GB2312"/>
                <w:sz w:val="24"/>
                <w:color w:val="000000"/>
              </w:rPr>
              <w:t>34</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420"/>
            <w:gridSpan w:val="3"/>
            <w:tcMar>
              <w:top w:type="dxa" w:w="0"/>
              <w:left w:type="dxa" w:w="0"/>
              <w:bottom w:type="dxa" w:w="0"/>
              <w:right w:type="dxa" w:w="0"/>
            </w:tcMar>
          </w:tcPr>
          <w:p>
            <w:pPr>
              <w:pStyle w:val="null3"/>
              <w:jc w:val="center"/>
            </w:pPr>
            <w:r>
              <w:rPr>
                <w:rFonts w:ascii="仿宋_GB2312" w:hAnsi="仿宋_GB2312" w:cs="仿宋_GB2312" w:eastAsia="仿宋_GB2312"/>
                <w:sz w:val="24"/>
                <w:color w:val="000000"/>
              </w:rPr>
              <w:t>35</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2.7</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r>
        <w:tc>
          <w:tcPr>
            <w:tcW w:type="dxa" w:w="420"/>
            <w:gridSpan w:val="3"/>
            <w:tcMar>
              <w:top w:type="dxa" w:w="0"/>
              <w:left w:type="dxa" w:w="0"/>
              <w:bottom w:type="dxa" w:w="0"/>
              <w:right w:type="dxa" w:w="0"/>
            </w:tcMar>
          </w:tcPr>
          <w:p>
            <w:pPr>
              <w:pStyle w:val="null3"/>
              <w:jc w:val="center"/>
            </w:pPr>
            <w:r>
              <w:rPr>
                <w:rFonts w:ascii="仿宋_GB2312" w:hAnsi="仿宋_GB2312" w:cs="仿宋_GB2312" w:eastAsia="仿宋_GB2312"/>
                <w:sz w:val="24"/>
                <w:color w:val="000000"/>
              </w:rPr>
              <w:t>36</w:t>
            </w:r>
          </w:p>
        </w:tc>
        <w:tc>
          <w:tcPr>
            <w:tcW w:type="dxa" w:w="671"/>
            <w:tcMar>
              <w:top w:type="dxa" w:w="0"/>
              <w:left w:type="dxa" w:w="0"/>
              <w:bottom w:type="dxa" w:w="0"/>
              <w:right w:type="dxa" w:w="0"/>
            </w:tcMar>
          </w:tcPr>
          <w:p>
            <w:pPr>
              <w:pStyle w:val="null3"/>
              <w:jc w:val="center"/>
            </w:pPr>
            <w:r>
              <w:rPr>
                <w:rFonts w:ascii="仿宋_GB2312" w:hAnsi="仿宋_GB2312" w:cs="仿宋_GB2312" w:eastAsia="仿宋_GB2312"/>
                <w:sz w:val="24"/>
                <w:b/>
                <w:color w:val="000000"/>
                <w:shd w:fill="FFFFFF" w:val="clear"/>
              </w:rPr>
              <w:t>5.5</w:t>
            </w:r>
          </w:p>
        </w:tc>
        <w:tc>
          <w:tcPr>
            <w:tcW w:type="dxa" w:w="7215"/>
            <w:tcMar>
              <w:top w:type="dxa" w:w="0"/>
              <w:left w:type="dxa" w:w="0"/>
              <w:bottom w:type="dxa" w:w="0"/>
              <w:right w:type="dxa" w:w="0"/>
            </w:tcMar>
          </w:tcPr>
          <w:p>
            <w:pPr>
              <w:pStyle w:val="null3"/>
              <w:jc w:val="left"/>
            </w:pPr>
            <w:r>
              <w:rPr>
                <w:rFonts w:ascii="仿宋_GB2312" w:hAnsi="仿宋_GB2312" w:cs="仿宋_GB2312" w:eastAsia="仿宋_GB2312"/>
                <w:sz w:val="24"/>
                <w:color w:val="000000"/>
                <w:shd w:fill="FFFFFF" w:val="clear"/>
              </w:rPr>
              <w:t>保安服务费每月结算一次，中标人应在安保服务次月的第三个工作日前递交上个月的保安服务费清单和发票。采购人审核后，扣除中标人未按合同规定履行而承担的各种款项在当月25日前支付给中标人。</w:t>
            </w:r>
          </w:p>
          <w:p>
            <w:pPr>
              <w:pStyle w:val="null3"/>
              <w:jc w:val="left"/>
            </w:pPr>
            <w:r>
              <w:rPr>
                <w:rFonts w:ascii="仿宋_GB2312" w:hAnsi="仿宋_GB2312" w:cs="仿宋_GB2312" w:eastAsia="仿宋_GB2312"/>
                <w:sz w:val="24"/>
                <w:color w:val="000000"/>
                <w:shd w:fill="FFFFFF" w:val="clear"/>
              </w:rPr>
              <w:t>结算期的人员增减由双方以保安服务结算清单方式予以确认，采购人在每月月底前完成对中标人服务情况的考核，履约考核扣款金额以考核表作为扣款结算凭证。</w:t>
            </w:r>
          </w:p>
        </w:tc>
      </w:tr>
    </w:tbl>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、项目其他要求</w:t>
      </w:r>
    </w:p>
    <w:p>
      <w:pPr>
        <w:pStyle w:val="null3"/>
        <w:ind w:firstLine="480"/>
        <w:jc w:val="left"/>
      </w:pPr>
      <w:r>
        <w:rPr>
          <w:rFonts w:ascii="仿宋_GB2312" w:hAnsi="仿宋_GB2312" w:cs="仿宋_GB2312" w:eastAsia="仿宋_GB2312"/>
          <w:sz w:val="24"/>
          <w:color w:val="000000"/>
        </w:rPr>
        <w:t>9.1</w:t>
      </w:r>
      <w:r>
        <w:rPr>
          <w:rFonts w:ascii="仿宋_GB2312" w:hAnsi="仿宋_GB2312" w:cs="仿宋_GB2312" w:eastAsia="仿宋_GB2312"/>
          <w:sz w:val="24"/>
          <w:color w:val="000000"/>
        </w:rPr>
        <w:t>投标人拟派项目经理应具有类似项目的工作经验。拟投入的其它服务人员应齐备、专业配套、符合执业资格规定，能满足服务需要。投标人应提供项目组成员名单（注明职称、工作岗位、学历等基本情况）及职称证书的有效复印件。</w:t>
      </w:r>
    </w:p>
    <w:p>
      <w:pPr>
        <w:pStyle w:val="null3"/>
        <w:ind w:firstLine="480"/>
        <w:jc w:val="left"/>
      </w:pPr>
      <w:r>
        <w:rPr>
          <w:rFonts w:ascii="仿宋_GB2312" w:hAnsi="仿宋_GB2312" w:cs="仿宋_GB2312" w:eastAsia="仿宋_GB2312"/>
          <w:sz w:val="24"/>
          <w:color w:val="000000"/>
        </w:rPr>
        <w:t>9.2</w:t>
      </w:r>
      <w:r>
        <w:rPr>
          <w:rFonts w:ascii="仿宋_GB2312" w:hAnsi="仿宋_GB2312" w:cs="仿宋_GB2312" w:eastAsia="仿宋_GB2312"/>
          <w:sz w:val="24"/>
          <w:color w:val="000000"/>
        </w:rPr>
        <w:t>投标人应针对本招标项目的特点和要求，提供详尽可行的服务方案，服务保障措施，突发应急措施方案等。</w:t>
      </w:r>
    </w:p>
    <w:p>
      <w:pPr>
        <w:pStyle w:val="null3"/>
        <w:ind w:firstLine="480"/>
        <w:jc w:val="left"/>
      </w:pPr>
      <w:r>
        <w:rPr>
          <w:rFonts w:ascii="仿宋_GB2312" w:hAnsi="仿宋_GB2312" w:cs="仿宋_GB2312" w:eastAsia="仿宋_GB2312"/>
          <w:sz w:val="24"/>
          <w:color w:val="000000"/>
        </w:rPr>
        <w:t>9.3</w:t>
      </w:r>
      <w:r>
        <w:rPr>
          <w:rFonts w:ascii="仿宋_GB2312" w:hAnsi="仿宋_GB2312" w:cs="仿宋_GB2312" w:eastAsia="仿宋_GB2312"/>
          <w:sz w:val="24"/>
          <w:color w:val="000000"/>
        </w:rPr>
        <w:t>投标人应明确所提供的服务与采购要求存在正负偏离情况，对照招标文件要求，逐条说明所提供服务已对采购人的要求做出了实质性的响应，或申明与技术规范书、商务要求条文的偏差和例外并列于《技术和服务要求响应表》中。</w:t>
      </w:r>
    </w:p>
    <w:p>
      <w:pPr>
        <w:pStyle w:val="null3"/>
        <w:ind w:firstLine="480"/>
        <w:jc w:val="left"/>
      </w:pPr>
      <w:r>
        <w:rPr>
          <w:rFonts w:ascii="仿宋_GB2312" w:hAnsi="仿宋_GB2312" w:cs="仿宋_GB2312" w:eastAsia="仿宋_GB2312"/>
          <w:sz w:val="24"/>
          <w:color w:val="000000"/>
        </w:rPr>
        <w:t>9.4</w:t>
      </w:r>
      <w:r>
        <w:rPr>
          <w:rFonts w:ascii="仿宋_GB2312" w:hAnsi="仿宋_GB2312" w:cs="仿宋_GB2312" w:eastAsia="仿宋_GB2312"/>
          <w:sz w:val="24"/>
          <w:color w:val="000000"/>
        </w:rPr>
        <w:t>投标人提供的服务如不能达到招标文件要求及投标文件的承诺要求、行业规定等技术要求，中标人必须接受全额退款，并承担由此给采购人造成的经济损失。</w:t>
      </w:r>
    </w:p>
    <w:p>
      <w:pPr>
        <w:pStyle w:val="null3"/>
        <w:ind w:firstLine="480"/>
        <w:jc w:val="left"/>
      </w:pPr>
      <w:r>
        <w:rPr>
          <w:rFonts w:ascii="仿宋_GB2312" w:hAnsi="仿宋_GB2312" w:cs="仿宋_GB2312" w:eastAsia="仿宋_GB2312"/>
          <w:sz w:val="24"/>
          <w:color w:val="000000"/>
        </w:rPr>
        <w:t>9.5</w:t>
      </w:r>
      <w:r>
        <w:rPr>
          <w:rFonts w:ascii="仿宋_GB2312" w:hAnsi="仿宋_GB2312" w:cs="仿宋_GB2312" w:eastAsia="仿宋_GB2312"/>
          <w:sz w:val="24"/>
          <w:color w:val="000000"/>
        </w:rPr>
        <w:t>中标人应依据招标文件要求及投标文件所作承诺履行职责，如有违约，采购人有权根据协议、合同采取措施保证本次采购服务的顺利进行，并相应追究违约方的违约责任。</w:t>
      </w:r>
    </w:p>
    <w:p>
      <w:pPr>
        <w:pStyle w:val="null3"/>
        <w:ind w:firstLine="480"/>
        <w:jc w:val="left"/>
      </w:pPr>
      <w:r>
        <w:rPr>
          <w:rFonts w:ascii="仿宋_GB2312" w:hAnsi="仿宋_GB2312" w:cs="仿宋_GB2312" w:eastAsia="仿宋_GB2312"/>
          <w:sz w:val="24"/>
          <w:color w:val="000000"/>
        </w:rPr>
        <w:t>9.6</w:t>
      </w:r>
      <w:r>
        <w:rPr>
          <w:rFonts w:ascii="仿宋_GB2312" w:hAnsi="仿宋_GB2312" w:cs="仿宋_GB2312" w:eastAsia="仿宋_GB2312"/>
          <w:sz w:val="24"/>
          <w:color w:val="000000"/>
        </w:rPr>
        <w:t>中标人应接受采购人对项目的全面管理要求，全程质量、进度检查和监督管理，必须与采购人紧密配合，准确把握需求并快速响应用户需求存在的变化。中标人所提交的服务方案应经过严格的论证、科学合理可行，确保通过采购人考核、检查。如与要求不符，中标人必须无条件的整改。中标人必须按照行业专家及采购人提出的意见在采购人要求的时间内调整，保障提供优质的服务。</w:t>
      </w:r>
    </w:p>
    <w:p>
      <w:pPr>
        <w:pStyle w:val="null3"/>
        <w:ind w:firstLine="480"/>
        <w:jc w:val="left"/>
      </w:pPr>
      <w:r>
        <w:rPr>
          <w:rFonts w:ascii="仿宋_GB2312" w:hAnsi="仿宋_GB2312" w:cs="仿宋_GB2312" w:eastAsia="仿宋_GB2312"/>
          <w:sz w:val="24"/>
          <w:color w:val="000000"/>
        </w:rPr>
        <w:t>9.7</w:t>
      </w:r>
      <w:r>
        <w:rPr>
          <w:rFonts w:ascii="仿宋_GB2312" w:hAnsi="仿宋_GB2312" w:cs="仿宋_GB2312" w:eastAsia="仿宋_GB2312"/>
          <w:sz w:val="24"/>
          <w:color w:val="000000"/>
        </w:rPr>
        <w:t>因中标人不当行为，造成媒体曝光、群众投诉、意见反映强烈、被相关部门勒令整改，给采购人造成恶劣影响的，采购人可终止合同，中标人承担所有损失和责任，影响特别恶劣的，中标人承担赔偿责任。</w:t>
      </w:r>
    </w:p>
    <w:p>
      <w:pPr>
        <w:pStyle w:val="null3"/>
        <w:ind w:firstLine="480"/>
        <w:jc w:val="left"/>
      </w:pPr>
      <w:r>
        <w:rPr>
          <w:rFonts w:ascii="仿宋_GB2312" w:hAnsi="仿宋_GB2312" w:cs="仿宋_GB2312" w:eastAsia="仿宋_GB2312"/>
          <w:sz w:val="24"/>
          <w:color w:val="000000"/>
        </w:rPr>
        <w:t>9.8</w:t>
      </w:r>
      <w:r>
        <w:rPr>
          <w:rFonts w:ascii="仿宋_GB2312" w:hAnsi="仿宋_GB2312" w:cs="仿宋_GB2312" w:eastAsia="仿宋_GB2312"/>
          <w:sz w:val="24"/>
          <w:color w:val="000000"/>
        </w:rPr>
        <w:t>中标人在日常管理服务中，若涉及与其他部门的交涉、协调、办理相关手续等事宜由中标人自行解决，采购人可根据自身实际情况提供一定的帮助。</w:t>
      </w:r>
    </w:p>
    <w:p>
      <w:pPr>
        <w:pStyle w:val="null3"/>
        <w:ind w:firstLine="480"/>
        <w:jc w:val="left"/>
      </w:pPr>
      <w:r>
        <w:rPr>
          <w:rFonts w:ascii="仿宋_GB2312" w:hAnsi="仿宋_GB2312" w:cs="仿宋_GB2312" w:eastAsia="仿宋_GB2312"/>
          <w:sz w:val="24"/>
          <w:color w:val="000000"/>
        </w:rPr>
        <w:t>9.9</w:t>
      </w:r>
      <w:r>
        <w:rPr>
          <w:rFonts w:ascii="仿宋_GB2312" w:hAnsi="仿宋_GB2312" w:cs="仿宋_GB2312" w:eastAsia="仿宋_GB2312"/>
          <w:sz w:val="24"/>
          <w:color w:val="000000"/>
        </w:rPr>
        <w:t>中标人在履约过程中若有出现安全事故，其责任及相应的赔偿均由中标人自行承担，采购人不承担所有责任及义务。</w:t>
      </w:r>
    </w:p>
    <w:p>
      <w:pPr>
        <w:pStyle w:val="null3"/>
        <w:ind w:firstLine="480"/>
        <w:jc w:val="left"/>
      </w:pPr>
      <w:r>
        <w:rPr>
          <w:rFonts w:ascii="仿宋_GB2312" w:hAnsi="仿宋_GB2312" w:cs="仿宋_GB2312" w:eastAsia="仿宋_GB2312"/>
          <w:sz w:val="24"/>
          <w:color w:val="000000"/>
        </w:rPr>
        <w:t>9.10</w:t>
      </w:r>
      <w:r>
        <w:rPr>
          <w:rFonts w:ascii="仿宋_GB2312" w:hAnsi="仿宋_GB2312" w:cs="仿宋_GB2312" w:eastAsia="仿宋_GB2312"/>
          <w:sz w:val="24"/>
          <w:color w:val="000000"/>
        </w:rPr>
        <w:t>招标文件中若有要求提供证书、证明等文件复印件的须加盖投标人公章（原件备查），且必须在有效期内。</w:t>
      </w:r>
    </w:p>
    <w:p>
      <w:pPr>
        <w:pStyle w:val="null3"/>
        <w:ind w:firstLine="480"/>
        <w:jc w:val="left"/>
      </w:pPr>
      <w:r>
        <w:rPr>
          <w:rFonts w:ascii="仿宋_GB2312" w:hAnsi="仿宋_GB2312" w:cs="仿宋_GB2312" w:eastAsia="仿宋_GB2312"/>
          <w:sz w:val="24"/>
          <w:color w:val="000000"/>
        </w:rPr>
        <w:t>9.11</w:t>
      </w:r>
      <w:r>
        <w:rPr>
          <w:rFonts w:ascii="仿宋_GB2312" w:hAnsi="仿宋_GB2312" w:cs="仿宋_GB2312" w:eastAsia="仿宋_GB2312"/>
          <w:sz w:val="24"/>
          <w:color w:val="000000"/>
        </w:rPr>
        <w:t>投标人认为有利于采购人的其它优惠条款应单独列明。</w:t>
      </w:r>
    </w:p>
    <w:p>
      <w:pPr>
        <w:pStyle w:val="null3"/>
        <w:ind w:firstLine="48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、报价要求</w:t>
      </w:r>
    </w:p>
    <w:p>
      <w:pPr>
        <w:pStyle w:val="null3"/>
        <w:ind w:firstLine="480"/>
        <w:jc w:val="left"/>
      </w:pPr>
      <w:r>
        <w:rPr>
          <w:rFonts w:ascii="仿宋_GB2312" w:hAnsi="仿宋_GB2312" w:cs="仿宋_GB2312" w:eastAsia="仿宋_GB2312"/>
          <w:sz w:val="24"/>
          <w:color w:val="000000"/>
        </w:rPr>
        <w:t>10.1</w:t>
      </w:r>
      <w:r>
        <w:rPr>
          <w:rFonts w:ascii="仿宋_GB2312" w:hAnsi="仿宋_GB2312" w:cs="仿宋_GB2312" w:eastAsia="仿宋_GB2312"/>
          <w:sz w:val="24"/>
          <w:color w:val="000000"/>
        </w:rPr>
        <w:t>本次招标为整体招标，投标人必须对招标项目的所有内容及服务进行投标响应，提供详细的服务方案。</w:t>
      </w:r>
    </w:p>
    <w:p>
      <w:pPr>
        <w:pStyle w:val="null3"/>
        <w:ind w:firstLine="480"/>
        <w:jc w:val="left"/>
      </w:pPr>
      <w:r>
        <w:rPr>
          <w:rFonts w:ascii="仿宋_GB2312" w:hAnsi="仿宋_GB2312" w:cs="仿宋_GB2312" w:eastAsia="仿宋_GB2312"/>
          <w:sz w:val="24"/>
          <w:color w:val="000000"/>
        </w:rPr>
        <w:t>10.2</w:t>
      </w:r>
      <w:r>
        <w:rPr>
          <w:rFonts w:ascii="仿宋_GB2312" w:hAnsi="仿宋_GB2312" w:cs="仿宋_GB2312" w:eastAsia="仿宋_GB2312"/>
          <w:sz w:val="24"/>
          <w:color w:val="000000"/>
        </w:rPr>
        <w:t>采购人不接受投标人任何因遗漏报价而发生的费用追加，因投标人违反《劳动法》等法律法规而造成采购人的连带责任和损失全部由投标人承担。</w:t>
      </w:r>
    </w:p>
    <w:p>
      <w:pPr>
        <w:pStyle w:val="null3"/>
        <w:ind w:firstLine="480"/>
        <w:jc w:val="left"/>
      </w:pPr>
      <w:r>
        <w:rPr>
          <w:rFonts w:ascii="仿宋_GB2312" w:hAnsi="仿宋_GB2312" w:cs="仿宋_GB2312" w:eastAsia="仿宋_GB2312"/>
          <w:sz w:val="24"/>
          <w:color w:val="000000"/>
        </w:rPr>
        <w:t>10.3</w:t>
      </w:r>
      <w:r>
        <w:rPr>
          <w:rFonts w:ascii="仿宋_GB2312" w:hAnsi="仿宋_GB2312" w:cs="仿宋_GB2312" w:eastAsia="仿宋_GB2312"/>
          <w:sz w:val="24"/>
          <w:color w:val="000000"/>
        </w:rPr>
        <w:t>投标报价应包含日常加班、各种突发应急事件等所需之费用，采购人不再另行支付。</w:t>
      </w:r>
    </w:p>
    <w:p>
      <w:pPr>
        <w:pStyle w:val="null3"/>
        <w:ind w:firstLine="480"/>
        <w:jc w:val="left"/>
      </w:pPr>
      <w:r>
        <w:rPr>
          <w:rFonts w:ascii="仿宋_GB2312" w:hAnsi="仿宋_GB2312" w:cs="仿宋_GB2312" w:eastAsia="仿宋_GB2312"/>
          <w:sz w:val="24"/>
          <w:color w:val="000000"/>
        </w:rPr>
        <w:t>10.4</w:t>
      </w:r>
      <w:r>
        <w:rPr>
          <w:rFonts w:ascii="仿宋_GB2312" w:hAnsi="仿宋_GB2312" w:cs="仿宋_GB2312" w:eastAsia="仿宋_GB2312"/>
          <w:sz w:val="24"/>
          <w:color w:val="000000"/>
        </w:rPr>
        <w:t>投标人的报价在中标后合同实施过程中不因市场或政策价格的调整而增减。</w:t>
      </w:r>
    </w:p>
    <w:p>
      <w:pPr>
        <w:pStyle w:val="null3"/>
        <w:ind w:firstLine="480"/>
        <w:jc w:val="left"/>
      </w:pPr>
      <w:r>
        <w:rPr>
          <w:rFonts w:ascii="仿宋_GB2312" w:hAnsi="仿宋_GB2312" w:cs="仿宋_GB2312" w:eastAsia="仿宋_GB2312"/>
          <w:sz w:val="24"/>
          <w:color w:val="000000"/>
        </w:rPr>
        <w:t>10.5</w:t>
      </w:r>
      <w:r>
        <w:rPr>
          <w:rFonts w:ascii="仿宋_GB2312" w:hAnsi="仿宋_GB2312" w:cs="仿宋_GB2312" w:eastAsia="仿宋_GB2312"/>
          <w:sz w:val="24"/>
          <w:color w:val="000000"/>
        </w:rPr>
        <w:t>本项目为交钥匙项目，投标人所投报价包含承包期限内的所有费用，包括但不限于人工费（工资、加班费、 奖金、福利、基本养老保险、基本医疗保险、失业险、工伤、生育险）、装备费用、利 润、其他物料消耗费、税费等为完成本项工作所有可能发生的费用。凡漏报的费用均视为已包括在投标总报价中。</w:t>
      </w:r>
    </w:p>
    <w:p>
      <w:pPr>
        <w:pStyle w:val="null3"/>
        <w:ind w:firstLine="482"/>
        <w:jc w:val="left"/>
      </w:pPr>
      <w:r>
        <w:rPr>
          <w:rFonts w:ascii="仿宋_GB2312" w:hAnsi="仿宋_GB2312" w:cs="仿宋_GB2312" w:eastAsia="仿宋_GB2312"/>
          <w:sz w:val="24"/>
          <w:b/>
          <w:color w:val="000000"/>
        </w:rPr>
        <w:t>10.6</w:t>
      </w:r>
      <w:r>
        <w:rPr>
          <w:rFonts w:ascii="仿宋_GB2312" w:hAnsi="仿宋_GB2312" w:cs="仿宋_GB2312" w:eastAsia="仿宋_GB2312"/>
          <w:sz w:val="24"/>
          <w:b/>
          <w:color w:val="000000"/>
        </w:rPr>
        <w:t>投标人须根据项目编制详细的岗位报价明细表，岗位报价明细表可上传在“优先类节能产品、环境标志产品统计表”位置。</w:t>
      </w:r>
    </w:p>
    <w:p>
      <w:pPr>
        <w:pStyle w:val="null3"/>
        <w:ind w:firstLine="48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、商务响应要求</w:t>
      </w:r>
    </w:p>
    <w:p>
      <w:pPr>
        <w:pStyle w:val="null3"/>
        <w:ind w:firstLine="480"/>
        <w:jc w:val="left"/>
      </w:pPr>
      <w:r>
        <w:rPr>
          <w:rFonts w:ascii="仿宋_GB2312" w:hAnsi="仿宋_GB2312" w:cs="仿宋_GB2312" w:eastAsia="仿宋_GB2312"/>
          <w:sz w:val="24"/>
          <w:color w:val="000000"/>
        </w:rPr>
        <w:t>11.1</w:t>
      </w:r>
      <w:r>
        <w:rPr>
          <w:rFonts w:ascii="仿宋_GB2312" w:hAnsi="仿宋_GB2312" w:cs="仿宋_GB2312" w:eastAsia="仿宋_GB2312"/>
          <w:sz w:val="24"/>
          <w:color w:val="000000"/>
        </w:rPr>
        <w:t>投标人为企业的，提供有效的营业执照复印件，并提供有效证书复印件。</w:t>
      </w:r>
    </w:p>
    <w:p>
      <w:pPr>
        <w:pStyle w:val="null3"/>
        <w:ind w:firstLine="480"/>
        <w:jc w:val="left"/>
      </w:pPr>
      <w:r>
        <w:rPr>
          <w:rFonts w:ascii="仿宋_GB2312" w:hAnsi="仿宋_GB2312" w:cs="仿宋_GB2312" w:eastAsia="仿宋_GB2312"/>
          <w:sz w:val="24"/>
          <w:color w:val="000000"/>
        </w:rPr>
        <w:t>11.2</w:t>
      </w:r>
      <w:r>
        <w:rPr>
          <w:rFonts w:ascii="仿宋_GB2312" w:hAnsi="仿宋_GB2312" w:cs="仿宋_GB2312" w:eastAsia="仿宋_GB2312"/>
          <w:sz w:val="24"/>
          <w:color w:val="000000"/>
        </w:rPr>
        <w:t>投标人承诺在本项目投标截止时间前三年内无发生重大安全事故。</w:t>
      </w:r>
    </w:p>
    <w:p>
      <w:pPr>
        <w:pStyle w:val="null3"/>
        <w:ind w:firstLine="480"/>
        <w:jc w:val="left"/>
      </w:pPr>
      <w:r>
        <w:rPr>
          <w:rFonts w:ascii="仿宋_GB2312" w:hAnsi="仿宋_GB2312" w:cs="仿宋_GB2312" w:eastAsia="仿宋_GB2312"/>
          <w:sz w:val="24"/>
          <w:color w:val="000000"/>
        </w:rPr>
        <w:t>11.3</w:t>
      </w:r>
      <w:r>
        <w:rPr>
          <w:rFonts w:ascii="仿宋_GB2312" w:hAnsi="仿宋_GB2312" w:cs="仿宋_GB2312" w:eastAsia="仿宋_GB2312"/>
          <w:sz w:val="24"/>
          <w:color w:val="000000"/>
        </w:rPr>
        <w:t>为</w:t>
      </w:r>
      <w:r>
        <w:rPr>
          <w:rFonts w:ascii="仿宋_GB2312" w:hAnsi="仿宋_GB2312" w:cs="仿宋_GB2312" w:eastAsia="仿宋_GB2312"/>
          <w:sz w:val="24"/>
          <w:color w:val="000000"/>
        </w:rPr>
        <w:t>保障项目</w:t>
      </w:r>
      <w:r>
        <w:rPr>
          <w:rFonts w:ascii="仿宋_GB2312" w:hAnsi="仿宋_GB2312" w:cs="仿宋_GB2312" w:eastAsia="仿宋_GB2312"/>
          <w:sz w:val="24"/>
          <w:color w:val="000000"/>
        </w:rPr>
        <w:t>的</w:t>
      </w:r>
      <w:r>
        <w:rPr>
          <w:rFonts w:ascii="仿宋_GB2312" w:hAnsi="仿宋_GB2312" w:cs="仿宋_GB2312" w:eastAsia="仿宋_GB2312"/>
          <w:sz w:val="24"/>
          <w:color w:val="000000"/>
        </w:rPr>
        <w:t>履约服务质量，</w:t>
      </w:r>
      <w:r>
        <w:rPr>
          <w:rFonts w:ascii="仿宋_GB2312" w:hAnsi="仿宋_GB2312" w:cs="仿宋_GB2312" w:eastAsia="仿宋_GB2312"/>
          <w:sz w:val="24"/>
          <w:color w:val="000000"/>
        </w:rPr>
        <w:t>中标人应</w:t>
      </w:r>
      <w:r>
        <w:rPr>
          <w:rFonts w:ascii="仿宋_GB2312" w:hAnsi="仿宋_GB2312" w:cs="仿宋_GB2312" w:eastAsia="仿宋_GB2312"/>
          <w:sz w:val="24"/>
          <w:color w:val="000000"/>
        </w:rPr>
        <w:t>按照质量管理体系认证、环境管理体系认证、职业健康安全管理体系认证等执行。</w:t>
      </w:r>
    </w:p>
    <w:p>
      <w:pPr>
        <w:pStyle w:val="null3"/>
        <w:ind w:firstLine="480"/>
        <w:jc w:val="left"/>
      </w:pPr>
      <w:r>
        <w:rPr>
          <w:rFonts w:ascii="仿宋_GB2312" w:hAnsi="仿宋_GB2312" w:cs="仿宋_GB2312" w:eastAsia="仿宋_GB2312"/>
          <w:sz w:val="24"/>
          <w:color w:val="000000"/>
        </w:rPr>
        <w:t>11.4</w:t>
      </w:r>
      <w:r>
        <w:rPr>
          <w:rFonts w:ascii="仿宋_GB2312" w:hAnsi="仿宋_GB2312" w:cs="仿宋_GB2312" w:eastAsia="仿宋_GB2312"/>
          <w:sz w:val="24"/>
          <w:color w:val="000000"/>
        </w:rPr>
        <w:t>中标人应保障服务的质量和水平</w:t>
      </w:r>
      <w:r>
        <w:rPr>
          <w:rFonts w:ascii="仿宋_GB2312" w:hAnsi="仿宋_GB2312" w:cs="仿宋_GB2312" w:eastAsia="仿宋_GB2312"/>
          <w:sz w:val="24"/>
          <w:color w:val="000000"/>
        </w:rPr>
        <w:t>，投标时提供</w:t>
      </w:r>
      <w:r>
        <w:rPr>
          <w:rFonts w:ascii="仿宋_GB2312" w:hAnsi="仿宋_GB2312" w:cs="仿宋_GB2312" w:eastAsia="仿宋_GB2312"/>
          <w:sz w:val="24"/>
          <w:color w:val="000000"/>
        </w:rPr>
        <w:t>自</w:t>
      </w:r>
      <w:r>
        <w:rPr>
          <w:rFonts w:ascii="仿宋_GB2312" w:hAnsi="仿宋_GB2312" w:cs="仿宋_GB2312" w:eastAsia="仿宋_GB2312"/>
          <w:sz w:val="24"/>
          <w:color w:val="000000"/>
        </w:rPr>
        <w:t>2022</w:t>
      </w:r>
      <w:r>
        <w:rPr>
          <w:rFonts w:ascii="仿宋_GB2312" w:hAnsi="仿宋_GB2312" w:cs="仿宋_GB2312" w:eastAsia="仿宋_GB2312"/>
          <w:sz w:val="24"/>
          <w:color w:val="000000"/>
        </w:rPr>
        <w:t>年1月1日起，获得政府部门颁发的荣誉或奖项。须提供证书复印件或相关证明材料复印件。</w:t>
      </w:r>
    </w:p>
    <w:p>
      <w:pPr>
        <w:pStyle w:val="null3"/>
        <w:ind w:firstLine="480"/>
        <w:jc w:val="left"/>
      </w:pPr>
      <w:r>
        <w:rPr>
          <w:rFonts w:ascii="仿宋_GB2312" w:hAnsi="仿宋_GB2312" w:cs="仿宋_GB2312" w:eastAsia="仿宋_GB2312"/>
          <w:sz w:val="24"/>
          <w:color w:val="000000"/>
        </w:rPr>
        <w:t>11.5</w:t>
      </w:r>
      <w:r>
        <w:rPr>
          <w:rFonts w:ascii="仿宋_GB2312" w:hAnsi="仿宋_GB2312" w:cs="仿宋_GB2312" w:eastAsia="仿宋_GB2312"/>
          <w:sz w:val="24"/>
          <w:color w:val="000000"/>
        </w:rPr>
        <w:t>为保障项目沟通交流方便，根据本项目的特点，投标人承诺中标后在项目所在地设立安保项目部满足安保服务需要及与采购人之间有效沟通的响应时间作出书面承诺说明。</w:t>
      </w:r>
    </w:p>
    <w:p>
      <w:pPr>
        <w:pStyle w:val="null3"/>
        <w:ind w:firstLine="480"/>
        <w:jc w:val="left"/>
      </w:pPr>
      <w:r>
        <w:rPr>
          <w:rFonts w:ascii="仿宋_GB2312" w:hAnsi="仿宋_GB2312" w:cs="仿宋_GB2312" w:eastAsia="仿宋_GB2312"/>
          <w:sz w:val="24"/>
          <w:color w:val="000000"/>
        </w:rPr>
        <w:t>11.6</w:t>
      </w:r>
      <w:r>
        <w:rPr>
          <w:rFonts w:ascii="仿宋_GB2312" w:hAnsi="仿宋_GB2312" w:cs="仿宋_GB2312" w:eastAsia="仿宋_GB2312"/>
          <w:sz w:val="24"/>
          <w:color w:val="000000"/>
        </w:rPr>
        <w:t>为保障项目顺利进行，投标人应根据本项目的特点承诺合同签订后10天内所有安保人员和安保设备全部到位的书面承诺说明。</w:t>
      </w:r>
    </w:p>
    <w:p>
      <w:pPr>
        <w:pStyle w:val="null3"/>
        <w:ind w:firstLine="480"/>
        <w:jc w:val="left"/>
      </w:pPr>
      <w:r>
        <w:rPr>
          <w:rFonts w:ascii="仿宋_GB2312" w:hAnsi="仿宋_GB2312" w:cs="仿宋_GB2312" w:eastAsia="仿宋_GB2312"/>
          <w:sz w:val="24"/>
          <w:color w:val="000000"/>
        </w:rPr>
        <w:t>11.7</w:t>
      </w:r>
      <w:r>
        <w:rPr>
          <w:rFonts w:ascii="仿宋_GB2312" w:hAnsi="仿宋_GB2312" w:cs="仿宋_GB2312" w:eastAsia="仿宋_GB2312"/>
          <w:sz w:val="24"/>
          <w:color w:val="000000"/>
        </w:rPr>
        <w:t>为有效平衡雇主与员工的权益，降低服务中风险的不确定性，在服务期内，中标人对拟投入的所有人员购买雇主责任保险，若发生人员安全损失事故，中标人承担全部责任。</w:t>
      </w:r>
    </w:p>
    <w:p>
      <w:pPr>
        <w:pStyle w:val="null3"/>
        <w:ind w:firstLine="480"/>
        <w:jc w:val="left"/>
      </w:pPr>
      <w:r>
        <w:rPr>
          <w:rFonts w:ascii="仿宋_GB2312" w:hAnsi="仿宋_GB2312" w:cs="仿宋_GB2312" w:eastAsia="仿宋_GB2312"/>
          <w:sz w:val="24"/>
          <w:color w:val="000000"/>
        </w:rPr>
        <w:t>11.8</w:t>
      </w:r>
      <w:r>
        <w:rPr>
          <w:rFonts w:ascii="仿宋_GB2312" w:hAnsi="仿宋_GB2312" w:cs="仿宋_GB2312" w:eastAsia="仿宋_GB2312"/>
          <w:sz w:val="24"/>
          <w:color w:val="000000"/>
        </w:rPr>
        <w:t>为保障项目的顺利进行，中标人应具备安保服务项目的业绩经验、获得项目业主满意度评价。</w:t>
      </w:r>
    </w:p>
    <w:p>
      <w:pPr>
        <w:pStyle w:val="null3"/>
        <w:ind w:firstLine="480"/>
        <w:jc w:val="left"/>
      </w:pPr>
      <w:r>
        <w:rPr>
          <w:rFonts w:ascii="仿宋_GB2312" w:hAnsi="仿宋_GB2312" w:cs="仿宋_GB2312" w:eastAsia="仿宋_GB2312"/>
          <w:sz w:val="24"/>
          <w:color w:val="000000"/>
        </w:rPr>
        <w:t>注：投标人应根据商务响应及评分条款尽可能提供相应的佐证材料，未按要求提供的将可能导致不得分。</w:t>
      </w:r>
    </w:p>
    <w:p>
      <w:pPr>
        <w:pStyle w:val="null3"/>
        <w:ind w:firstLine="480"/>
        <w:jc w:val="both"/>
      </w:pPr>
      <w:r>
        <w:rPr>
          <w:rFonts w:ascii="仿宋_GB2312" w:hAnsi="仿宋_GB2312" w:cs="仿宋_GB2312" w:eastAsia="仿宋_GB2312"/>
          <w:sz w:val="24"/>
          <w:b/>
          <w:color w:val="000000"/>
        </w:rPr>
        <w:t>12</w:t>
      </w:r>
      <w:r>
        <w:rPr>
          <w:rFonts w:ascii="仿宋_GB2312" w:hAnsi="仿宋_GB2312" w:cs="仿宋_GB2312" w:eastAsia="仿宋_GB2312"/>
          <w:sz w:val="24"/>
          <w:b/>
          <w:color w:val="000000"/>
        </w:rPr>
        <w:t>、补充内容:</w:t>
      </w:r>
    </w:p>
    <w:p>
      <w:pPr>
        <w:pStyle w:val="null3"/>
        <w:ind w:firstLine="480"/>
        <w:jc w:val="both"/>
      </w:pPr>
      <w:r>
        <w:rPr>
          <w:rFonts w:ascii="仿宋_GB2312" w:hAnsi="仿宋_GB2312" w:cs="仿宋_GB2312" w:eastAsia="仿宋_GB2312"/>
          <w:sz w:val="24"/>
          <w:b/>
          <w:color w:val="000000"/>
        </w:rPr>
        <w:t>12.1</w:t>
      </w:r>
      <w:r>
        <w:rPr>
          <w:rFonts w:ascii="仿宋_GB2312" w:hAnsi="仿宋_GB2312" w:cs="仿宋_GB2312" w:eastAsia="仿宋_GB2312"/>
          <w:sz w:val="24"/>
          <w:b/>
          <w:color w:val="000000"/>
        </w:rPr>
        <w:t>关于明确串标情节及后果的预警提示，投标人应明确知晓相应行为及后果</w:t>
      </w:r>
    </w:p>
    <w:p>
      <w:pPr>
        <w:pStyle w:val="null3"/>
        <w:ind w:firstLine="480"/>
      </w:pPr>
      <w:r>
        <w:rPr>
          <w:rFonts w:ascii="仿宋_GB2312" w:hAnsi="仿宋_GB2312" w:cs="仿宋_GB2312" w:eastAsia="仿宋_GB2312"/>
          <w:sz w:val="24"/>
          <w:b/>
          <w:color w:val="000000"/>
        </w:rPr>
        <w:t>附件1：</w:t>
      </w:r>
    </w:p>
    <w:p>
      <w:pPr>
        <w:pStyle w:val="null3"/>
        <w:ind w:firstLine="480"/>
        <w:jc w:val="center"/>
      </w:pPr>
      <w:r>
        <w:rPr>
          <w:rFonts w:ascii="仿宋_GB2312" w:hAnsi="仿宋_GB2312" w:cs="仿宋_GB2312" w:eastAsia="仿宋_GB2312"/>
          <w:sz w:val="24"/>
          <w:color w:val="000000"/>
        </w:rPr>
        <w:t>关于串标情形及后果的告知函</w:t>
      </w:r>
    </w:p>
    <w:p>
      <w:pPr>
        <w:pStyle w:val="null3"/>
        <w:ind w:firstLine="480"/>
        <w:jc w:val="both"/>
      </w:pPr>
      <w:r>
        <w:rPr>
          <w:rFonts w:ascii="仿宋_GB2312" w:hAnsi="仿宋_GB2312" w:cs="仿宋_GB2312" w:eastAsia="仿宋_GB2312"/>
          <w:sz w:val="24"/>
          <w:color w:val="000000"/>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null3"/>
        <w:ind w:firstLine="480"/>
        <w:jc w:val="both"/>
      </w:pPr>
      <w:r>
        <w:rPr>
          <w:rFonts w:ascii="仿宋_GB2312" w:hAnsi="仿宋_GB2312" w:cs="仿宋_GB2312" w:eastAsia="仿宋_GB2312"/>
          <w:sz w:val="24"/>
          <w:color w:val="000000"/>
        </w:rPr>
        <w:t>一、串标情形</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政府采购法》第二十五条：政府采购当事人不得相互串通损害国家利益、社会公共利益和其他当事人的合法权益；不得以任何手段排斥其他供应商参与竞争。供应商不得以向采购人、采购代理机构、评标委员会的组成人员、竞争性谈判小组的组成人员、询价小组的组成人员行贿或者采取其他不正当手段谋取中标或者成交。</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政府采购法实施条例》第七十四条：有下列情形之一的，属于恶意串通，对供应商依照政府采购法第七十七条第一款的规定追究法律责任，对采购人、采购代理机构及其工作人员依照政府采购法第七十二条的规定追究法律责任：</w:t>
      </w:r>
    </w:p>
    <w:p>
      <w:pPr>
        <w:pStyle w:val="null3"/>
        <w:ind w:firstLine="480"/>
        <w:jc w:val="both"/>
      </w:pPr>
      <w:r>
        <w:rPr>
          <w:rFonts w:ascii="仿宋_GB2312" w:hAnsi="仿宋_GB2312" w:cs="仿宋_GB2312" w:eastAsia="仿宋_GB2312"/>
          <w:sz w:val="24"/>
          <w:color w:val="000000"/>
        </w:rPr>
        <w:t>（一）供应商直接或者间接从采购人或者采购代理机构处获得其他供应商的相关情况并修改其投标文件或者响应文件；</w:t>
      </w:r>
    </w:p>
    <w:p>
      <w:pPr>
        <w:pStyle w:val="null3"/>
        <w:ind w:firstLine="480"/>
        <w:jc w:val="both"/>
      </w:pPr>
      <w:r>
        <w:rPr>
          <w:rFonts w:ascii="仿宋_GB2312" w:hAnsi="仿宋_GB2312" w:cs="仿宋_GB2312" w:eastAsia="仿宋_GB2312"/>
          <w:sz w:val="24"/>
          <w:color w:val="000000"/>
        </w:rPr>
        <w:t>（二）供应商按照采购人或者采购代理机构的授意撤换、修改投标文件或者响应文件；</w:t>
      </w:r>
    </w:p>
    <w:p>
      <w:pPr>
        <w:pStyle w:val="null3"/>
        <w:ind w:firstLine="480"/>
        <w:jc w:val="both"/>
      </w:pPr>
      <w:r>
        <w:rPr>
          <w:rFonts w:ascii="仿宋_GB2312" w:hAnsi="仿宋_GB2312" w:cs="仿宋_GB2312" w:eastAsia="仿宋_GB2312"/>
          <w:sz w:val="24"/>
          <w:color w:val="000000"/>
        </w:rPr>
        <w:t>（三）供应商之间协商报价、技术方案等投标文件或者响应文件的实质性内容；</w:t>
      </w:r>
    </w:p>
    <w:p>
      <w:pPr>
        <w:pStyle w:val="null3"/>
        <w:ind w:firstLine="480"/>
        <w:jc w:val="both"/>
      </w:pPr>
      <w:r>
        <w:rPr>
          <w:rFonts w:ascii="仿宋_GB2312" w:hAnsi="仿宋_GB2312" w:cs="仿宋_GB2312" w:eastAsia="仿宋_GB2312"/>
          <w:sz w:val="24"/>
          <w:color w:val="000000"/>
        </w:rPr>
        <w:t>（四）属于同一集团、协会、商会等组织成员的供应商按照该组织要求协同参加政府采购活动；</w:t>
      </w:r>
    </w:p>
    <w:p>
      <w:pPr>
        <w:pStyle w:val="null3"/>
        <w:ind w:firstLine="480"/>
        <w:jc w:val="both"/>
      </w:pPr>
      <w:r>
        <w:rPr>
          <w:rFonts w:ascii="仿宋_GB2312" w:hAnsi="仿宋_GB2312" w:cs="仿宋_GB2312" w:eastAsia="仿宋_GB2312"/>
          <w:sz w:val="24"/>
          <w:color w:val="000000"/>
        </w:rPr>
        <w:t>（五）供应商之间事先约定由某一特定供应商中标、成交；</w:t>
      </w:r>
    </w:p>
    <w:p>
      <w:pPr>
        <w:pStyle w:val="null3"/>
        <w:ind w:firstLine="480"/>
        <w:jc w:val="both"/>
      </w:pPr>
      <w:r>
        <w:rPr>
          <w:rFonts w:ascii="仿宋_GB2312" w:hAnsi="仿宋_GB2312" w:cs="仿宋_GB2312" w:eastAsia="仿宋_GB2312"/>
          <w:sz w:val="24"/>
          <w:color w:val="000000"/>
        </w:rPr>
        <w:t>（六）供应商之间商定部分供应商放弃参加政府采购活动或者放弃中标、成交；</w:t>
      </w:r>
    </w:p>
    <w:p>
      <w:pPr>
        <w:pStyle w:val="null3"/>
        <w:ind w:firstLine="480"/>
        <w:jc w:val="both"/>
      </w:pPr>
      <w:r>
        <w:rPr>
          <w:rFonts w:ascii="仿宋_GB2312" w:hAnsi="仿宋_GB2312" w:cs="仿宋_GB2312" w:eastAsia="仿宋_GB2312"/>
          <w:sz w:val="24"/>
          <w:color w:val="000000"/>
        </w:rPr>
        <w:t>（七）供应商与采购人或者采购代理机构之间、供应商相互之间，为谋求特定供应商中标、成交或者排斥其他供应商的其他串通行为。</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、《福建省财政厅关于电子化政府采购项目中视为串标情形认定与处理的指导意见》（闽财购〔2018〕30号）</w:t>
      </w:r>
    </w:p>
    <w:p>
      <w:pPr>
        <w:pStyle w:val="null3"/>
        <w:ind w:firstLine="480"/>
        <w:jc w:val="both"/>
      </w:pPr>
      <w:r>
        <w:rPr>
          <w:rFonts w:ascii="仿宋_GB2312" w:hAnsi="仿宋_GB2312" w:cs="仿宋_GB2312" w:eastAsia="仿宋_GB2312"/>
          <w:sz w:val="24"/>
          <w:color w:val="000000"/>
        </w:rPr>
        <w:t>一、电子化招标项目视为串通情形的认定</w:t>
      </w:r>
    </w:p>
    <w:p>
      <w:pPr>
        <w:pStyle w:val="null3"/>
        <w:ind w:firstLine="480"/>
        <w:jc w:val="both"/>
      </w:pPr>
      <w:r>
        <w:rPr>
          <w:rFonts w:ascii="仿宋_GB2312" w:hAnsi="仿宋_GB2312" w:cs="仿宋_GB2312" w:eastAsia="仿宋_GB2312"/>
          <w:sz w:val="24"/>
          <w:color w:val="000000"/>
        </w:rPr>
        <w:t>（一）保证金验核阶段</w:t>
      </w:r>
    </w:p>
    <w:p>
      <w:pPr>
        <w:pStyle w:val="null3"/>
        <w:ind w:firstLine="480"/>
        <w:jc w:val="both"/>
      </w:pPr>
      <w:r>
        <w:rPr>
          <w:rFonts w:ascii="仿宋_GB2312" w:hAnsi="仿宋_GB2312" w:cs="仿宋_GB2312" w:eastAsia="仿宋_GB2312"/>
          <w:sz w:val="24"/>
          <w:color w:val="000000"/>
        </w:rPr>
        <w:t>不同投标人的投标保证金转出账户的银行账户名称相同的，属于《政府采购货物和服务招标投标管理办法》（财政部令第87号）第三十七条第（六）项“不同投标人的投标保证金从同一单位或者个人的账户转出”的情形。</w:t>
      </w:r>
    </w:p>
    <w:p>
      <w:pPr>
        <w:pStyle w:val="null3"/>
        <w:ind w:firstLine="480"/>
        <w:jc w:val="both"/>
      </w:pPr>
      <w:r>
        <w:rPr>
          <w:rFonts w:ascii="仿宋_GB2312" w:hAnsi="仿宋_GB2312" w:cs="仿宋_GB2312" w:eastAsia="仿宋_GB2312"/>
          <w:sz w:val="24"/>
          <w:color w:val="000000"/>
        </w:rPr>
        <w:t>（二）电子响应文件解密阶段</w:t>
      </w:r>
    </w:p>
    <w:p>
      <w:pPr>
        <w:pStyle w:val="null3"/>
        <w:ind w:firstLine="480"/>
        <w:jc w:val="both"/>
      </w:pPr>
      <w:r>
        <w:rPr>
          <w:rFonts w:ascii="仿宋_GB2312" w:hAnsi="仿宋_GB2312" w:cs="仿宋_GB2312" w:eastAsia="仿宋_GB2312"/>
          <w:sz w:val="24"/>
          <w:color w:val="000000"/>
        </w:rPr>
        <w:t>电子响应文件的个性特征与本采购项目的其他响应人存在雷同的，按照以下方式进行认定：</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480"/>
        <w:jc w:val="both"/>
      </w:pPr>
      <w:r>
        <w:rPr>
          <w:rFonts w:ascii="仿宋_GB2312" w:hAnsi="仿宋_GB2312" w:cs="仿宋_GB2312" w:eastAsia="仿宋_GB2312"/>
          <w:sz w:val="24"/>
          <w:color w:val="000000"/>
        </w:rPr>
        <w:t>二、电子化非招标项目视为串通情形的认定</w:t>
      </w:r>
    </w:p>
    <w:p>
      <w:pPr>
        <w:pStyle w:val="null3"/>
        <w:ind w:firstLine="480"/>
        <w:jc w:val="both"/>
      </w:pPr>
      <w:r>
        <w:rPr>
          <w:rFonts w:ascii="仿宋_GB2312" w:hAnsi="仿宋_GB2312" w:cs="仿宋_GB2312" w:eastAsia="仿宋_GB2312"/>
          <w:sz w:val="24"/>
          <w:color w:val="000000"/>
        </w:rPr>
        <w:t>电子化非招标项目（包括竞争性谈判、竞争性磋商、询价）中出现本意见第一点所列情形的，属于《中华人民共和国政府采购法实施条例》第七十四条第（七）项“供应商与采购人或者采购代理机构之间、供应商相互之间，为谋求特定供应商中标、成交或者排斥其他供应商的其他串通行为”。</w:t>
      </w:r>
    </w:p>
    <w:p>
      <w:pPr>
        <w:pStyle w:val="null3"/>
        <w:ind w:firstLine="480"/>
        <w:jc w:val="both"/>
      </w:pPr>
      <w:r>
        <w:rPr>
          <w:rFonts w:ascii="仿宋_GB2312" w:hAnsi="仿宋_GB2312" w:cs="仿宋_GB2312" w:eastAsia="仿宋_GB2312"/>
          <w:sz w:val="24"/>
          <w:color w:val="000000"/>
        </w:rPr>
        <w:t>二、后果</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政府采购法》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80"/>
        <w:jc w:val="both"/>
      </w:pPr>
      <w:r>
        <w:rPr>
          <w:rFonts w:ascii="仿宋_GB2312" w:hAnsi="仿宋_GB2312" w:cs="仿宋_GB2312" w:eastAsia="仿宋_GB2312"/>
          <w:sz w:val="24"/>
          <w:color w:val="000000"/>
        </w:rPr>
        <w:t>（三）与采购人、其他供应商或者采购代理机构恶意串通的；</w:t>
      </w:r>
    </w:p>
    <w:p>
      <w:pPr>
        <w:pStyle w:val="null3"/>
        <w:ind w:firstLine="480"/>
        <w:jc w:val="both"/>
      </w:pPr>
      <w:r>
        <w:rPr>
          <w:rFonts w:ascii="仿宋_GB2312" w:hAnsi="仿宋_GB2312" w:cs="仿宋_GB2312" w:eastAsia="仿宋_GB2312"/>
          <w:sz w:val="24"/>
          <w:color w:val="000000"/>
        </w:rPr>
        <w:t>供应商有前款第（一）至（五）项情形之一的，中标、成交无效。</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、《政府采购非招标采购方式管理办法》（财政部令第74号）第二十条：有下列情形之一的，保证金不予退还：</w:t>
      </w:r>
    </w:p>
    <w:p>
      <w:pPr>
        <w:pStyle w:val="null3"/>
        <w:ind w:firstLine="480"/>
        <w:jc w:val="both"/>
      </w:pPr>
      <w:r>
        <w:rPr>
          <w:rFonts w:ascii="仿宋_GB2312" w:hAnsi="仿宋_GB2312" w:cs="仿宋_GB2312" w:eastAsia="仿宋_GB2312"/>
          <w:sz w:val="24"/>
          <w:color w:val="000000"/>
        </w:rPr>
        <w:t>（四）供应商与采购人、其他供应商或者采购代理机构恶意串通的；</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、《福建省财政厅关于电子化政府采购项目中视为串标情形认定与处理的指导意见》（闽财购〔2018〕30号）</w:t>
      </w:r>
    </w:p>
    <w:p>
      <w:pPr>
        <w:pStyle w:val="null3"/>
        <w:ind w:firstLine="480"/>
        <w:jc w:val="both"/>
      </w:pPr>
      <w:r>
        <w:rPr>
          <w:rFonts w:ascii="仿宋_GB2312" w:hAnsi="仿宋_GB2312" w:cs="仿宋_GB2312" w:eastAsia="仿宋_GB2312"/>
          <w:sz w:val="24"/>
          <w:color w:val="000000"/>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80"/>
        <w:jc w:val="both"/>
      </w:pPr>
      <w:r>
        <w:rPr>
          <w:rFonts w:ascii="仿宋_GB2312" w:hAnsi="仿宋_GB2312" w:cs="仿宋_GB2312" w:eastAsia="仿宋_GB2312"/>
          <w:sz w:val="24"/>
          <w:color w:val="000000"/>
        </w:rPr>
        <w:t>三、虚假响应风险提示</w:t>
      </w:r>
    </w:p>
    <w:p>
      <w:pPr>
        <w:pStyle w:val="null3"/>
        <w:ind w:firstLine="480"/>
        <w:jc w:val="both"/>
      </w:pPr>
      <w:r>
        <w:rPr>
          <w:rFonts w:ascii="仿宋_GB2312" w:hAnsi="仿宋_GB2312" w:cs="仿宋_GB2312" w:eastAsia="仿宋_GB2312"/>
          <w:sz w:val="24"/>
          <w:color w:val="000000"/>
        </w:rPr>
        <w:t>《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成交的违法行为的执法力度。相关行政处罚案件，供应商可登录中国政府采购网的“政府采购严重违法失信行为记录名单”查询，望引以为戒。</w:t>
      </w:r>
    </w:p>
    <w:p>
      <w:pPr>
        <w:pStyle w:val="null3"/>
        <w:ind w:firstLine="482"/>
      </w:pPr>
      <w:r>
        <w:rPr>
          <w:rFonts w:ascii="仿宋_GB2312" w:hAnsi="仿宋_GB2312" w:cs="仿宋_GB2312" w:eastAsia="仿宋_GB2312"/>
          <w:sz w:val="24"/>
          <w:color w:val="000000"/>
        </w:rPr>
        <w:t>12.2</w:t>
      </w:r>
      <w:r>
        <w:rPr>
          <w:rFonts w:ascii="仿宋_GB2312" w:hAnsi="仿宋_GB2312" w:cs="仿宋_GB2312" w:eastAsia="仿宋_GB2312"/>
          <w:sz w:val="24"/>
          <w:b/>
          <w:color w:val="000000"/>
        </w:rPr>
        <w:t>《技术商务部分》的格式补充如下：</w:t>
      </w:r>
    </w:p>
    <w:p>
      <w:pPr>
        <w:pStyle w:val="null3"/>
        <w:ind w:firstLine="480"/>
        <w:jc w:val="center"/>
      </w:pPr>
      <w:r>
        <w:rPr>
          <w:rFonts w:ascii="仿宋_GB2312" w:hAnsi="仿宋_GB2312" w:cs="仿宋_GB2312" w:eastAsia="仿宋_GB2312"/>
          <w:sz w:val="24"/>
          <w:b/>
          <w:color w:val="000000"/>
        </w:rPr>
        <w:t>四、投标人提交的其他资料</w:t>
      </w:r>
    </w:p>
    <w:p>
      <w:pPr>
        <w:pStyle w:val="null3"/>
        <w:ind w:firstLine="480"/>
        <w:jc w:val="center"/>
      </w:pPr>
      <w:r>
        <w:rPr>
          <w:rFonts w:ascii="仿宋_GB2312" w:hAnsi="仿宋_GB2312" w:cs="仿宋_GB2312" w:eastAsia="仿宋_GB2312"/>
          <w:sz w:val="24"/>
          <w:b/>
          <w:color w:val="000000"/>
        </w:rPr>
        <w:t>（一）带“★”号条款逐条响应情况表</w:t>
      </w:r>
    </w:p>
    <w:p>
      <w:pPr>
        <w:pStyle w:val="null3"/>
        <w:ind w:firstLine="480"/>
        <w:jc w:val="both"/>
      </w:pPr>
      <w:r>
        <w:rPr>
          <w:rFonts w:ascii="仿宋_GB2312" w:hAnsi="仿宋_GB2312" w:cs="仿宋_GB2312" w:eastAsia="仿宋_GB2312"/>
          <w:sz w:val="24"/>
          <w:color w:val="000000"/>
        </w:rPr>
        <w:t>项目名称：     招标编号：</w:t>
      </w:r>
    </w:p>
    <w:tbl>
      <w:tblPr>
        <w:tblW w:w="0" w:type="auto"/>
        <w:tblBorders>
          <w:top w:val="none" w:color="000000" w:sz="4"/>
          <w:left w:val="none" w:color="000000" w:sz="4"/>
          <w:bottom w:val="none" w:color="000000" w:sz="4"/>
          <w:right w:val="none" w:color="000000" w:sz="4"/>
          <w:insideH w:val="none"/>
          <w:insideV w:val="none"/>
        </w:tblBorders>
      </w:tblPr>
      <w:tblGrid>
        <w:gridCol w:w="901"/>
        <w:gridCol w:w="3169"/>
        <w:gridCol w:w="1742"/>
        <w:gridCol w:w="2493"/>
      </w:tblGrid>
      <w:tr>
        <w:tc>
          <w:tcPr>
            <w:tcW w:type="dxa" w:w="9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条款号</w:t>
            </w:r>
          </w:p>
        </w:tc>
        <w:tc>
          <w:tcPr>
            <w:tcW w:type="dxa" w:w="3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招标文件中带“★”号的条款</w:t>
            </w:r>
          </w:p>
        </w:tc>
        <w:tc>
          <w:tcPr>
            <w:tcW w:type="dxa" w:w="1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投标响应内容</w:t>
            </w:r>
          </w:p>
        </w:tc>
        <w:tc>
          <w:tcPr>
            <w:tcW w:type="dxa" w:w="2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对应投标文件页码</w:t>
            </w:r>
          </w:p>
        </w:tc>
      </w:tr>
      <w:tr>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24"/>
          <w:b/>
          <w:color w:val="000000"/>
        </w:rPr>
        <w:t>以上★号条款为招标文件中的所有★号条款，无论是技术指标或文字描述要求，投标人必须逐条如实地书面响应。</w:t>
      </w:r>
    </w:p>
    <w:p>
      <w:pPr>
        <w:pStyle w:val="null3"/>
        <w:ind w:firstLine="482"/>
        <w:jc w:val="right"/>
      </w:pPr>
      <w:r>
        <w:rPr>
          <w:rFonts w:ascii="仿宋_GB2312" w:hAnsi="仿宋_GB2312" w:cs="仿宋_GB2312" w:eastAsia="仿宋_GB2312"/>
          <w:sz w:val="24"/>
          <w:color w:val="000000"/>
        </w:rPr>
        <w:t>投标人全称（加盖公章）：</w:t>
      </w:r>
    </w:p>
    <w:p>
      <w:pPr>
        <w:pStyle w:val="null3"/>
        <w:ind w:firstLine="5520"/>
        <w:jc w:val="both"/>
      </w:pPr>
      <w:r>
        <w:rPr>
          <w:rFonts w:ascii="仿宋_GB2312" w:hAnsi="仿宋_GB2312" w:cs="仿宋_GB2312" w:eastAsia="仿宋_GB2312"/>
          <w:sz w:val="24"/>
          <w:color w:val="000000"/>
        </w:rPr>
        <w:t>日   期：</w:t>
      </w:r>
    </w:p>
    <w:p>
      <w:pPr>
        <w:pStyle w:val="null3"/>
        <w:ind w:firstLine="480"/>
        <w:jc w:val="center"/>
      </w:pPr>
      <w:r>
        <w:rPr>
          <w:rFonts w:ascii="仿宋_GB2312" w:hAnsi="仿宋_GB2312" w:cs="仿宋_GB2312" w:eastAsia="仿宋_GB2312"/>
          <w:sz w:val="24"/>
          <w:b/>
          <w:color w:val="000000"/>
        </w:rPr>
        <w:t>（二）技术商务评分响应索引表</w:t>
      </w:r>
    </w:p>
    <w:tbl>
      <w:tblPr>
        <w:tblW w:w="0" w:type="auto"/>
        <w:tblBorders>
          <w:top w:val="none" w:color="000000" w:sz="4"/>
          <w:left w:val="none" w:color="000000" w:sz="4"/>
          <w:bottom w:val="none" w:color="000000" w:sz="4"/>
          <w:right w:val="none" w:color="000000" w:sz="4"/>
          <w:insideH w:val="none"/>
          <w:insideV w:val="none"/>
        </w:tblBorders>
      </w:tblPr>
      <w:tblGrid>
        <w:gridCol w:w="1049"/>
        <w:gridCol w:w="4438"/>
        <w:gridCol w:w="2819"/>
      </w:tblGrid>
      <w:tr>
        <w:tc>
          <w:tcPr>
            <w:tcW w:type="dxa" w:w="1049"/>
            <w:tcBorders>
              <w:top w:val="double" w:color="000000" w:sz="24"/>
              <w:left w:val="double" w:color="000000" w:sz="2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438"/>
            <w:tcBorders>
              <w:top w:val="double" w:color="000000" w:sz="2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评分标准要求</w:t>
            </w:r>
          </w:p>
        </w:tc>
        <w:tc>
          <w:tcPr>
            <w:tcW w:type="dxa" w:w="2819"/>
            <w:tcBorders>
              <w:top w:val="double" w:color="000000" w:sz="24"/>
              <w:left w:val="none" w:color="000000" w:sz="4"/>
              <w:bottom w:val="single" w:color="000000" w:sz="4"/>
              <w:right w:val="double" w:color="000000" w:sz="2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对应投标文件页码</w:t>
            </w:r>
          </w:p>
        </w:tc>
      </w:tr>
      <w:tr>
        <w:tc>
          <w:tcPr>
            <w:tcW w:type="dxa" w:w="8306"/>
            <w:gridSpan w:val="3"/>
            <w:tcBorders>
              <w:top w:val="none" w:color="000000" w:sz="4"/>
              <w:left w:val="double" w:color="000000" w:sz="24"/>
              <w:bottom w:val="single" w:color="000000" w:sz="4"/>
              <w:right w:val="double" w:color="000000" w:sz="2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技术因素评分</w:t>
            </w:r>
          </w:p>
        </w:tc>
      </w:tr>
      <w:tr>
        <w:tc>
          <w:tcPr>
            <w:tcW w:type="dxa" w:w="1049"/>
            <w:tcBorders>
              <w:top w:val="none" w:color="000000" w:sz="4"/>
              <w:left w:val="double" w:color="000000" w:sz="2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9"/>
            <w:tcBorders>
              <w:top w:val="none" w:color="000000" w:sz="4"/>
              <w:left w:val="none" w:color="000000" w:sz="4"/>
              <w:bottom w:val="single" w:color="000000" w:sz="4"/>
              <w:right w:val="double" w:color="000000" w:sz="24"/>
            </w:tcBorders>
            <w:tcMar>
              <w:top w:type="dxa" w:w="0"/>
              <w:left w:type="dxa" w:w="105"/>
              <w:bottom w:type="dxa" w:w="0"/>
              <w:right w:type="dxa" w:w="105"/>
            </w:tcMar>
            <w:vAlign w:val="top"/>
          </w:tcPr>
          <w:p/>
        </w:tc>
      </w:tr>
      <w:tr>
        <w:tc>
          <w:tcPr>
            <w:tcW w:type="dxa" w:w="1049"/>
            <w:tcBorders>
              <w:top w:val="none" w:color="000000" w:sz="4"/>
              <w:left w:val="double" w:color="000000" w:sz="2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9"/>
            <w:tcBorders>
              <w:top w:val="none" w:color="000000" w:sz="4"/>
              <w:left w:val="none" w:color="000000" w:sz="4"/>
              <w:bottom w:val="single" w:color="000000" w:sz="4"/>
              <w:right w:val="double" w:color="000000" w:sz="24"/>
            </w:tcBorders>
            <w:tcMar>
              <w:top w:type="dxa" w:w="0"/>
              <w:left w:type="dxa" w:w="105"/>
              <w:bottom w:type="dxa" w:w="0"/>
              <w:right w:type="dxa" w:w="105"/>
            </w:tcMar>
            <w:vAlign w:val="top"/>
          </w:tcPr>
          <w:p/>
        </w:tc>
      </w:tr>
      <w:tr>
        <w:tc>
          <w:tcPr>
            <w:tcW w:type="dxa" w:w="8306"/>
            <w:gridSpan w:val="3"/>
            <w:tcBorders>
              <w:top w:val="none" w:color="000000" w:sz="4"/>
              <w:left w:val="double" w:color="000000" w:sz="24"/>
              <w:bottom w:val="single" w:color="000000" w:sz="4"/>
              <w:right w:val="double" w:color="000000" w:sz="2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商务因素评分</w:t>
            </w:r>
          </w:p>
        </w:tc>
      </w:tr>
      <w:tr>
        <w:tc>
          <w:tcPr>
            <w:tcW w:type="dxa" w:w="1049"/>
            <w:tcBorders>
              <w:top w:val="none" w:color="000000" w:sz="4"/>
              <w:left w:val="double" w:color="000000" w:sz="2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9"/>
            <w:tcBorders>
              <w:top w:val="none" w:color="000000" w:sz="4"/>
              <w:left w:val="none" w:color="000000" w:sz="4"/>
              <w:bottom w:val="single" w:color="000000" w:sz="4"/>
              <w:right w:val="double" w:color="000000" w:sz="24"/>
            </w:tcBorders>
            <w:tcMar>
              <w:top w:type="dxa" w:w="0"/>
              <w:left w:type="dxa" w:w="105"/>
              <w:bottom w:type="dxa" w:w="0"/>
              <w:right w:type="dxa" w:w="105"/>
            </w:tcMar>
            <w:vAlign w:val="top"/>
          </w:tcPr>
          <w:p/>
        </w:tc>
      </w:tr>
      <w:tr>
        <w:tc>
          <w:tcPr>
            <w:tcW w:type="dxa" w:w="1049"/>
            <w:tcBorders>
              <w:top w:val="none" w:color="000000" w:sz="4"/>
              <w:left w:val="double" w:color="000000" w:sz="24"/>
              <w:bottom w:val="double" w:color="000000" w:sz="2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438"/>
            <w:tcBorders>
              <w:top w:val="none" w:color="000000" w:sz="4"/>
              <w:left w:val="none" w:color="000000" w:sz="4"/>
              <w:bottom w:val="double" w:color="000000" w:sz="24"/>
              <w:right w:val="single" w:color="000000" w:sz="4"/>
            </w:tcBorders>
            <w:tcMar>
              <w:top w:type="dxa" w:w="0"/>
              <w:left w:type="dxa" w:w="105"/>
              <w:bottom w:type="dxa" w:w="0"/>
              <w:right w:type="dxa" w:w="105"/>
            </w:tcMar>
            <w:vAlign w:val="top"/>
          </w:tcPr>
          <w:p>
            <w:pPr>
              <w:pStyle w:val="null3"/>
              <w:jc w:val="center"/>
            </w:pPr>
          </w:p>
        </w:tc>
        <w:tc>
          <w:tcPr>
            <w:tcW w:type="dxa" w:w="2819"/>
            <w:tcBorders>
              <w:top w:val="none" w:color="000000" w:sz="4"/>
              <w:left w:val="none" w:color="000000" w:sz="4"/>
              <w:bottom w:val="double" w:color="000000" w:sz="24"/>
              <w:right w:val="double" w:color="000000" w:sz="2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24"/>
          <w:b/>
          <w:color w:val="000000"/>
        </w:rPr>
        <w:t>（三）廉洁告知书格式：</w:t>
      </w:r>
    </w:p>
    <w:p>
      <w:pPr>
        <w:pStyle w:val="null3"/>
        <w:ind w:firstLine="480"/>
        <w:jc w:val="center"/>
      </w:pPr>
      <w:r>
        <w:rPr>
          <w:rFonts w:ascii="仿宋_GB2312" w:hAnsi="仿宋_GB2312" w:cs="仿宋_GB2312" w:eastAsia="仿宋_GB2312"/>
          <w:sz w:val="24"/>
          <w:b/>
          <w:color w:val="000000"/>
        </w:rPr>
        <w:t>廉洁告知书</w:t>
      </w:r>
    </w:p>
    <w:p>
      <w:pPr>
        <w:pStyle w:val="null3"/>
        <w:ind w:firstLine="480"/>
        <w:jc w:val="both"/>
      </w:pPr>
      <w:r>
        <w:rPr>
          <w:rFonts w:ascii="仿宋_GB2312" w:hAnsi="仿宋_GB2312" w:cs="仿宋_GB2312" w:eastAsia="仿宋_GB2312"/>
          <w:sz w:val="24"/>
          <w:color w:val="000000"/>
          <w:u w:val="single"/>
        </w:rPr>
        <w:t>(</w:t>
      </w:r>
      <w:r>
        <w:rPr>
          <w:rFonts w:ascii="仿宋_GB2312" w:hAnsi="仿宋_GB2312" w:cs="仿宋_GB2312" w:eastAsia="仿宋_GB2312"/>
          <w:sz w:val="24"/>
          <w:color w:val="000000"/>
          <w:u w:val="single"/>
        </w:rPr>
        <w:t xml:space="preserve">填写投标人名称) </w:t>
      </w:r>
      <w:r>
        <w:rPr>
          <w:rFonts w:ascii="仿宋_GB2312" w:hAnsi="仿宋_GB2312" w:cs="仿宋_GB2312" w:eastAsia="仿宋_GB2312"/>
          <w:sz w:val="24"/>
          <w:color w:val="000000"/>
        </w:rPr>
        <w:t>：</w:t>
      </w:r>
    </w:p>
    <w:p>
      <w:pPr>
        <w:pStyle w:val="null3"/>
        <w:ind w:firstLine="560"/>
        <w:jc w:val="both"/>
      </w:pPr>
      <w:r>
        <w:rPr>
          <w:rFonts w:ascii="仿宋_GB2312" w:hAnsi="仿宋_GB2312" w:cs="仿宋_GB2312" w:eastAsia="仿宋_GB2312"/>
          <w:sz w:val="24"/>
          <w:color w:val="000000"/>
        </w:rPr>
        <w:t>为进一步完善厦门市属公立医疗单位采购监督制约机制，防止发生医疗领域商业贿赂行为，贵司在医疗机构采购活动中要廉洁自律、诚实守信，遵守如下规定：</w:t>
      </w:r>
    </w:p>
    <w:p>
      <w:pPr>
        <w:pStyle w:val="null3"/>
        <w:ind w:firstLine="480"/>
        <w:jc w:val="both"/>
      </w:pPr>
      <w:r>
        <w:rPr>
          <w:rFonts w:ascii="仿宋_GB2312" w:hAnsi="仿宋_GB2312" w:cs="仿宋_GB2312" w:eastAsia="仿宋_GB2312"/>
          <w:sz w:val="24"/>
          <w:color w:val="000000"/>
        </w:rPr>
        <w:t>严格遵守国家有关工程建设、招标投标、物资采购、服务采购等相关法律法规、政策以及廉政建设规定。</w:t>
      </w:r>
    </w:p>
    <w:p>
      <w:pPr>
        <w:pStyle w:val="null3"/>
        <w:ind w:firstLine="480"/>
        <w:jc w:val="both"/>
      </w:pPr>
      <w:r>
        <w:rPr>
          <w:rFonts w:ascii="仿宋_GB2312" w:hAnsi="仿宋_GB2312" w:cs="仿宋_GB2312" w:eastAsia="仿宋_GB2312"/>
          <w:sz w:val="24"/>
          <w:color w:val="000000"/>
        </w:rPr>
        <w:t>坚持公平、公正、公开和诚实守信的原则，不得为获取不正当利益损害国家、集体、第三人和对方利益。</w:t>
      </w:r>
    </w:p>
    <w:p>
      <w:pPr>
        <w:pStyle w:val="null3"/>
        <w:ind w:firstLine="480"/>
        <w:jc w:val="both"/>
      </w:pPr>
      <w:r>
        <w:rPr>
          <w:rFonts w:ascii="仿宋_GB2312" w:hAnsi="仿宋_GB2312" w:cs="仿宋_GB2312" w:eastAsia="仿宋_GB2312"/>
          <w:sz w:val="24"/>
          <w:color w:val="000000"/>
        </w:rPr>
        <w:t>不得有商业贿赂行为，如赠予甲方人员现金、物品、有价证券，或以支付凭证、理财等方式变相支付本应由甲方人员承担的款项。</w:t>
      </w:r>
    </w:p>
    <w:p>
      <w:pPr>
        <w:pStyle w:val="null3"/>
        <w:ind w:firstLine="480"/>
        <w:jc w:val="both"/>
      </w:pPr>
      <w:r>
        <w:rPr>
          <w:rFonts w:ascii="仿宋_GB2312" w:hAnsi="仿宋_GB2312" w:cs="仿宋_GB2312" w:eastAsia="仿宋_GB2312"/>
          <w:sz w:val="24"/>
          <w:color w:val="000000"/>
        </w:rPr>
        <w:t>不得以任何理由邀请甲方人员进入营业性娱乐场所或者参加影响业务工作公平公正开展的其他活动。</w:t>
      </w:r>
    </w:p>
    <w:p>
      <w:pPr>
        <w:pStyle w:val="null3"/>
        <w:ind w:firstLine="480"/>
        <w:jc w:val="both"/>
      </w:pPr>
      <w:r>
        <w:rPr>
          <w:rFonts w:ascii="仿宋_GB2312" w:hAnsi="仿宋_GB2312" w:cs="仿宋_GB2312" w:eastAsia="仿宋_GB2312"/>
          <w:sz w:val="24"/>
          <w:color w:val="000000"/>
        </w:rPr>
        <w:t>不得到甲方医疗场所、工作人员家中推销产品并提供任何好处费，不得采用不正当手段进行临床促销活动。</w:t>
      </w:r>
    </w:p>
    <w:p>
      <w:pPr>
        <w:pStyle w:val="null3"/>
        <w:ind w:firstLine="480"/>
        <w:jc w:val="both"/>
      </w:pPr>
      <w:r>
        <w:rPr>
          <w:rFonts w:ascii="仿宋_GB2312" w:hAnsi="仿宋_GB2312" w:cs="仿宋_GB2312" w:eastAsia="仿宋_GB2312"/>
          <w:sz w:val="24"/>
          <w:color w:val="000000"/>
        </w:rPr>
        <w:t>不得以回扣、宴请等方式影响甲方人员采购或使用医药产品的选择权，不得在学术活动中提供旅游、超标准支付食宿费用。</w:t>
      </w:r>
    </w:p>
    <w:p>
      <w:pPr>
        <w:pStyle w:val="null3"/>
        <w:ind w:firstLine="480"/>
        <w:jc w:val="both"/>
      </w:pPr>
      <w:r>
        <w:rPr>
          <w:rFonts w:ascii="仿宋_GB2312" w:hAnsi="仿宋_GB2312" w:cs="仿宋_GB2312" w:eastAsia="仿宋_GB2312"/>
          <w:sz w:val="24"/>
          <w:color w:val="000000"/>
        </w:rPr>
        <w:t>如违反上述规定，甲方有权选择立即中止、终止或解除与贵司正在进行的任何业务关系，贵司应承担甲方因此产生的经济损失、不良后果及相应的违约责任。</w:t>
      </w:r>
    </w:p>
    <w:p>
      <w:pPr>
        <w:pStyle w:val="null3"/>
        <w:ind w:firstLine="565"/>
        <w:jc w:val="right"/>
      </w:pPr>
      <w:r>
        <w:rPr>
          <w:rFonts w:ascii="仿宋_GB2312" w:hAnsi="仿宋_GB2312" w:cs="仿宋_GB2312" w:eastAsia="仿宋_GB2312"/>
          <w:sz w:val="24"/>
          <w:color w:val="000000"/>
        </w:rPr>
        <w:t>盖  章：复旦大学附属中山医院厦门医院</w:t>
      </w:r>
    </w:p>
    <w:p>
      <w:pPr>
        <w:pStyle w:val="null3"/>
        <w:ind w:firstLine="480"/>
        <w:jc w:val="right"/>
      </w:pPr>
      <w:r>
        <w:rPr>
          <w:rFonts w:ascii="仿宋_GB2312" w:hAnsi="仿宋_GB2312" w:cs="仿宋_GB2312" w:eastAsia="仿宋_GB2312"/>
          <w:sz w:val="24"/>
          <w:color w:val="000000"/>
        </w:rPr>
        <w:t>日  期：月  月  日</w:t>
      </w:r>
    </w:p>
    <w:p>
      <w:pPr>
        <w:pStyle w:val="null3"/>
        <w:ind w:firstLine="480"/>
        <w:jc w:val="both"/>
      </w:pPr>
      <w:r>
        <w:rPr>
          <w:rFonts w:ascii="仿宋_GB2312" w:hAnsi="仿宋_GB2312" w:cs="仿宋_GB2312" w:eastAsia="仿宋_GB2312"/>
          <w:sz w:val="24"/>
          <w:color w:val="000000"/>
        </w:rPr>
        <w:t>复旦大学附属中山医院厦门医院廉洁告知书我已收到，内容我已知悉并理解，我方承诺将严格按照《廉洁告知书》相关内容履行。</w:t>
      </w:r>
    </w:p>
    <w:p>
      <w:pPr>
        <w:pStyle w:val="null3"/>
        <w:ind w:firstLine="560"/>
        <w:jc w:val="right"/>
      </w:pPr>
      <w:r>
        <w:rPr>
          <w:rFonts w:ascii="仿宋_GB2312" w:hAnsi="仿宋_GB2312" w:cs="仿宋_GB2312" w:eastAsia="仿宋_GB2312"/>
          <w:sz w:val="24"/>
          <w:color w:val="000000"/>
        </w:rPr>
        <w:t>签  字：(投标人授权代表签字)</w:t>
      </w:r>
    </w:p>
    <w:p>
      <w:pPr>
        <w:pStyle w:val="null3"/>
        <w:ind w:firstLine="480"/>
        <w:jc w:val="center"/>
      </w:pPr>
      <w:r>
        <w:rPr>
          <w:rFonts w:ascii="仿宋_GB2312" w:hAnsi="仿宋_GB2312" w:cs="仿宋_GB2312" w:eastAsia="仿宋_GB2312"/>
          <w:sz w:val="24"/>
          <w:color w:val="000000"/>
        </w:rPr>
        <w:t>盖  章：(公章)</w:t>
      </w:r>
    </w:p>
    <w:p>
      <w:pPr>
        <w:pStyle w:val="null3"/>
      </w:pPr>
      <w:r>
        <w:rPr>
          <w:rFonts w:ascii="仿宋_GB2312" w:hAnsi="仿宋_GB2312" w:cs="仿宋_GB2312" w:eastAsia="仿宋_GB2312"/>
          <w:sz w:val="24"/>
          <w:color w:val="000000"/>
        </w:rPr>
        <w:t>日  期：</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支持投标人合同融资，具体参见《关于促进中小企业政府采购合同融资健康开展的通知》（闽财购函〔2019〕16号）和《关于印发&lt;福建省支持中小企业政府采购合同融资暂行办法&gt;的通知（闽财购〔2018〕7号）等相关政策规定。 2.2本招标文件未明确的其它约定事项或条款，待采购人与中标人签订合同时，由双方协商订立。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[350201]FJGC[GK]2025001-1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保安服务项目(二次)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1(保安服务项目)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保安服务项目</w:t>
            </w:r>
          </w:p>
        </w:tc>
        <w:tc>
          <w:tcPr>
            <w:tcW w:type="dxa" w:w="1661"/>
          </w:tcPr>
          <w:p>
            <w:pPr>
              <w:pStyle w:val="null3"/>
              <w:jc w:val="left"/>
            </w:pPr>
            <w:r>
              <w:rPr>
                <w:rFonts w:ascii="仿宋_GB2312" w:hAnsi="仿宋_GB2312" w:cs="仿宋_GB2312" w:eastAsia="仿宋_GB2312"/>
              </w:rPr>
              <w:t xml:space="preserve"> 11300400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[350201]FJGC[GK]2025001-1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保安服务项目(二次)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保安服务项目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保安服务</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保安服务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11300400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年</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